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29ECCA" w14:textId="77777777" w:rsidR="00330A16" w:rsidRDefault="00D32F56" w:rsidP="00D32F56">
      <w:pPr>
        <w:jc w:val="center"/>
        <w:rPr>
          <w:rFonts w:ascii="Times New Roman" w:hAnsi="Times New Roman" w:cs="Times New Roman"/>
          <w:b/>
          <w:sz w:val="20"/>
          <w:szCs w:val="20"/>
        </w:rPr>
      </w:pPr>
      <w:r w:rsidRPr="00330A16">
        <w:rPr>
          <w:rFonts w:ascii="Times New Roman" w:hAnsi="Times New Roman" w:cs="Times New Roman"/>
          <w:b/>
          <w:sz w:val="20"/>
          <w:szCs w:val="20"/>
        </w:rPr>
        <w:t>Raport</w:t>
      </w:r>
    </w:p>
    <w:p w14:paraId="1BFB53FD" w14:textId="68863847" w:rsidR="00D32F56" w:rsidRPr="00330A16" w:rsidRDefault="00D32F56" w:rsidP="00D32F56">
      <w:pPr>
        <w:jc w:val="center"/>
        <w:rPr>
          <w:rFonts w:ascii="Times New Roman" w:hAnsi="Times New Roman" w:cs="Times New Roman"/>
          <w:b/>
          <w:sz w:val="20"/>
          <w:szCs w:val="20"/>
        </w:rPr>
      </w:pPr>
      <w:r w:rsidRPr="00330A16">
        <w:rPr>
          <w:rFonts w:ascii="Times New Roman" w:hAnsi="Times New Roman" w:cs="Times New Roman"/>
          <w:b/>
          <w:sz w:val="20"/>
          <w:szCs w:val="20"/>
        </w:rPr>
        <w:t xml:space="preserve"> z konsultacji </w:t>
      </w:r>
      <w:r w:rsidR="00294CF7" w:rsidRPr="00330A16">
        <w:rPr>
          <w:rFonts w:ascii="Times New Roman" w:hAnsi="Times New Roman" w:cs="Times New Roman"/>
          <w:b/>
          <w:sz w:val="20"/>
          <w:szCs w:val="20"/>
        </w:rPr>
        <w:t xml:space="preserve">dotyczący </w:t>
      </w:r>
      <w:r w:rsidRPr="00330A16">
        <w:rPr>
          <w:rFonts w:ascii="Times New Roman" w:hAnsi="Times New Roman" w:cs="Times New Roman"/>
          <w:b/>
          <w:i/>
          <w:sz w:val="20"/>
          <w:szCs w:val="20"/>
        </w:rPr>
        <w:t>projektu uchwały Rady Ministrów zmieniającej uchwałę w</w:t>
      </w:r>
      <w:r w:rsidR="00294CF7" w:rsidRPr="00330A16">
        <w:rPr>
          <w:rFonts w:ascii="Times New Roman" w:hAnsi="Times New Roman" w:cs="Times New Roman"/>
          <w:b/>
          <w:i/>
          <w:sz w:val="20"/>
          <w:szCs w:val="20"/>
        </w:rPr>
        <w:t> </w:t>
      </w:r>
      <w:r w:rsidRPr="00330A16">
        <w:rPr>
          <w:rFonts w:ascii="Times New Roman" w:hAnsi="Times New Roman" w:cs="Times New Roman"/>
          <w:b/>
          <w:i/>
          <w:sz w:val="20"/>
          <w:szCs w:val="20"/>
        </w:rPr>
        <w:t>sprawie Inicjatywy „Wspólna Infrastruktura Informatyczna Państwa”</w:t>
      </w:r>
    </w:p>
    <w:p w14:paraId="13D1C464" w14:textId="77777777" w:rsidR="00D32F56" w:rsidRPr="00330A16" w:rsidRDefault="00D32F56" w:rsidP="00D32F56">
      <w:pPr>
        <w:jc w:val="center"/>
        <w:rPr>
          <w:rFonts w:ascii="Times New Roman" w:hAnsi="Times New Roman" w:cs="Times New Roman"/>
          <w:b/>
          <w:sz w:val="20"/>
          <w:szCs w:val="20"/>
        </w:rPr>
      </w:pPr>
    </w:p>
    <w:p w14:paraId="7167DBA2" w14:textId="5B33EF10" w:rsidR="00D32F56" w:rsidRPr="00330A16" w:rsidRDefault="00D32F56" w:rsidP="00D32F56">
      <w:pPr>
        <w:pStyle w:val="Akapitzlist"/>
        <w:numPr>
          <w:ilvl w:val="0"/>
          <w:numId w:val="1"/>
        </w:numPr>
        <w:jc w:val="both"/>
        <w:rPr>
          <w:rFonts w:ascii="Times New Roman" w:hAnsi="Times New Roman" w:cs="Times New Roman"/>
          <w:b/>
          <w:sz w:val="20"/>
          <w:szCs w:val="20"/>
        </w:rPr>
      </w:pPr>
      <w:r w:rsidRPr="00330A16">
        <w:rPr>
          <w:rFonts w:ascii="Times New Roman" w:hAnsi="Times New Roman" w:cs="Times New Roman"/>
          <w:b/>
          <w:sz w:val="20"/>
          <w:szCs w:val="20"/>
        </w:rPr>
        <w:t>Omówienie wyników przeprowadzanych konsultacji publicznych</w:t>
      </w:r>
      <w:r w:rsidR="00294CF7" w:rsidRPr="00330A16">
        <w:rPr>
          <w:rFonts w:ascii="Times New Roman" w:hAnsi="Times New Roman" w:cs="Times New Roman"/>
          <w:b/>
          <w:sz w:val="20"/>
          <w:szCs w:val="20"/>
        </w:rPr>
        <w:t xml:space="preserve"> i</w:t>
      </w:r>
      <w:r w:rsidRPr="00330A16">
        <w:rPr>
          <w:rFonts w:ascii="Times New Roman" w:hAnsi="Times New Roman" w:cs="Times New Roman"/>
          <w:b/>
          <w:sz w:val="20"/>
          <w:szCs w:val="20"/>
        </w:rPr>
        <w:t xml:space="preserve"> opiniowania</w:t>
      </w:r>
    </w:p>
    <w:p w14:paraId="3861D59B" w14:textId="453A6EFC" w:rsidR="00D32F56" w:rsidRPr="00330A16" w:rsidRDefault="00D32F56" w:rsidP="00D32F56">
      <w:pPr>
        <w:jc w:val="both"/>
        <w:rPr>
          <w:rFonts w:ascii="Times New Roman" w:hAnsi="Times New Roman" w:cs="Times New Roman"/>
          <w:sz w:val="20"/>
          <w:szCs w:val="20"/>
        </w:rPr>
      </w:pPr>
      <w:r w:rsidRPr="00330A16">
        <w:rPr>
          <w:rFonts w:ascii="Times New Roman" w:hAnsi="Times New Roman" w:cs="Times New Roman"/>
          <w:sz w:val="20"/>
          <w:szCs w:val="20"/>
        </w:rPr>
        <w:t xml:space="preserve">Projekt </w:t>
      </w:r>
      <w:r w:rsidRPr="00330A16">
        <w:rPr>
          <w:rFonts w:ascii="Times New Roman" w:hAnsi="Times New Roman" w:cs="Times New Roman"/>
          <w:b/>
          <w:i/>
          <w:sz w:val="20"/>
          <w:szCs w:val="20"/>
        </w:rPr>
        <w:t>uchwały Rady Ministrów zmieniającej uchwał</w:t>
      </w:r>
      <w:r w:rsidR="009B7D9E" w:rsidRPr="00330A16">
        <w:rPr>
          <w:rFonts w:ascii="Times New Roman" w:hAnsi="Times New Roman" w:cs="Times New Roman"/>
          <w:b/>
          <w:i/>
          <w:sz w:val="20"/>
          <w:szCs w:val="20"/>
        </w:rPr>
        <w:t>ę</w:t>
      </w:r>
      <w:r w:rsidRPr="00330A16">
        <w:rPr>
          <w:rFonts w:ascii="Times New Roman" w:hAnsi="Times New Roman" w:cs="Times New Roman"/>
          <w:b/>
          <w:i/>
          <w:sz w:val="20"/>
          <w:szCs w:val="20"/>
        </w:rPr>
        <w:t xml:space="preserve"> w sprawie Inicjatywy „Wspólna Infrastruktura Informatyczna Państwa”</w:t>
      </w:r>
      <w:r w:rsidRPr="00330A16">
        <w:rPr>
          <w:rFonts w:ascii="Times New Roman" w:hAnsi="Times New Roman" w:cs="Times New Roman"/>
          <w:b/>
          <w:sz w:val="20"/>
          <w:szCs w:val="20"/>
        </w:rPr>
        <w:t xml:space="preserve"> </w:t>
      </w:r>
      <w:r w:rsidRPr="00330A16">
        <w:rPr>
          <w:rFonts w:ascii="Times New Roman" w:hAnsi="Times New Roman" w:cs="Times New Roman"/>
          <w:sz w:val="20"/>
          <w:szCs w:val="20"/>
        </w:rPr>
        <w:t>został poddany opiniowaniu.</w:t>
      </w:r>
    </w:p>
    <w:p w14:paraId="3A7C5865" w14:textId="663FDF07" w:rsidR="00D32F56" w:rsidRPr="00330A16" w:rsidRDefault="00D32F56" w:rsidP="00330A16">
      <w:pPr>
        <w:jc w:val="both"/>
        <w:rPr>
          <w:rFonts w:ascii="Times New Roman" w:hAnsi="Times New Roman" w:cs="Times New Roman"/>
          <w:sz w:val="20"/>
          <w:szCs w:val="20"/>
        </w:rPr>
      </w:pPr>
      <w:r w:rsidRPr="00330A16">
        <w:rPr>
          <w:rFonts w:ascii="Times New Roman" w:hAnsi="Times New Roman" w:cs="Times New Roman"/>
          <w:sz w:val="20"/>
          <w:szCs w:val="20"/>
        </w:rPr>
        <w:t xml:space="preserve">Projekt w ramach opiniowania został </w:t>
      </w:r>
      <w:r w:rsidR="00330A16">
        <w:rPr>
          <w:rFonts w:ascii="Times New Roman" w:hAnsi="Times New Roman" w:cs="Times New Roman"/>
          <w:sz w:val="20"/>
          <w:szCs w:val="20"/>
        </w:rPr>
        <w:t>przekazany</w:t>
      </w:r>
      <w:r w:rsidRPr="00330A16">
        <w:rPr>
          <w:rFonts w:ascii="Times New Roman" w:hAnsi="Times New Roman" w:cs="Times New Roman"/>
          <w:sz w:val="20"/>
          <w:szCs w:val="20"/>
        </w:rPr>
        <w:t xml:space="preserve"> łącznie do 12 podmiotów:</w:t>
      </w:r>
      <w:r w:rsidR="00330A16">
        <w:rPr>
          <w:rFonts w:ascii="Times New Roman" w:hAnsi="Times New Roman" w:cs="Times New Roman"/>
          <w:sz w:val="20"/>
          <w:szCs w:val="20"/>
        </w:rPr>
        <w:t xml:space="preserve"> </w:t>
      </w:r>
      <w:r w:rsidR="0005225F" w:rsidRPr="00330A16">
        <w:rPr>
          <w:rFonts w:ascii="Times New Roman" w:hAnsi="Times New Roman" w:cs="Times New Roman"/>
          <w:b/>
          <w:sz w:val="20"/>
          <w:szCs w:val="20"/>
        </w:rPr>
        <w:t>O</w:t>
      </w:r>
      <w:r w:rsidRPr="00330A16">
        <w:rPr>
          <w:rFonts w:ascii="Times New Roman" w:hAnsi="Times New Roman" w:cs="Times New Roman"/>
          <w:b/>
          <w:sz w:val="20"/>
          <w:szCs w:val="20"/>
        </w:rPr>
        <w:t>trzymały go:</w:t>
      </w:r>
    </w:p>
    <w:p w14:paraId="60CD2900" w14:textId="7E274C91" w:rsidR="00340C5D" w:rsidRPr="00330A16" w:rsidRDefault="00340C5D" w:rsidP="00340C5D">
      <w:pPr>
        <w:pStyle w:val="Akapitzlist"/>
        <w:numPr>
          <w:ilvl w:val="0"/>
          <w:numId w:val="7"/>
        </w:numPr>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t>Agencja Bezpieczeństwa Wewnętrznego;</w:t>
      </w:r>
    </w:p>
    <w:p w14:paraId="39AAD71E" w14:textId="61B24F3E" w:rsidR="00340C5D" w:rsidRPr="00330A16" w:rsidRDefault="00340C5D" w:rsidP="00340C5D">
      <w:pPr>
        <w:pStyle w:val="Akapitzlist"/>
        <w:numPr>
          <w:ilvl w:val="0"/>
          <w:numId w:val="7"/>
        </w:numPr>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t>Agencja Wywiadu;</w:t>
      </w:r>
    </w:p>
    <w:p w14:paraId="6A0B65E0" w14:textId="1333F5C9" w:rsidR="00340C5D" w:rsidRPr="00330A16" w:rsidRDefault="00340C5D" w:rsidP="00340C5D">
      <w:pPr>
        <w:pStyle w:val="Akapitzlist"/>
        <w:numPr>
          <w:ilvl w:val="0"/>
          <w:numId w:val="7"/>
        </w:numPr>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t>Centralne Biuro Antykorupcyjne;</w:t>
      </w:r>
    </w:p>
    <w:p w14:paraId="52502342" w14:textId="0F1C2599" w:rsidR="00340C5D" w:rsidRPr="00330A16" w:rsidRDefault="00340C5D" w:rsidP="00340C5D">
      <w:pPr>
        <w:pStyle w:val="Akapitzlist"/>
        <w:numPr>
          <w:ilvl w:val="0"/>
          <w:numId w:val="7"/>
        </w:numPr>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t>Rządowe Centrum Bezpieczeństwa;</w:t>
      </w:r>
    </w:p>
    <w:p w14:paraId="67656F7E" w14:textId="0019FD95" w:rsidR="00340C5D" w:rsidRPr="00330A16" w:rsidRDefault="00340C5D" w:rsidP="00340C5D">
      <w:pPr>
        <w:pStyle w:val="Akapitzlist"/>
        <w:numPr>
          <w:ilvl w:val="0"/>
          <w:numId w:val="7"/>
        </w:numPr>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t>Służba Kontrwywiadu Wojskowego;</w:t>
      </w:r>
    </w:p>
    <w:p w14:paraId="397330C8" w14:textId="2A4196BC" w:rsidR="00340C5D" w:rsidRPr="00330A16" w:rsidRDefault="00340C5D" w:rsidP="00340C5D">
      <w:pPr>
        <w:pStyle w:val="Akapitzlist"/>
        <w:numPr>
          <w:ilvl w:val="0"/>
          <w:numId w:val="7"/>
        </w:numPr>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t>Urząd Komisji Nadzoru Finansowego;</w:t>
      </w:r>
    </w:p>
    <w:p w14:paraId="132333BD" w14:textId="11E0B27D" w:rsidR="00340C5D" w:rsidRPr="00330A16" w:rsidRDefault="00340C5D" w:rsidP="00340C5D">
      <w:pPr>
        <w:pStyle w:val="Akapitzlist"/>
        <w:numPr>
          <w:ilvl w:val="0"/>
          <w:numId w:val="7"/>
        </w:numPr>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t>Służba Wywiadu Wojskowego;</w:t>
      </w:r>
    </w:p>
    <w:p w14:paraId="48848D49" w14:textId="771BF8B7" w:rsidR="00340C5D" w:rsidRPr="00330A16" w:rsidRDefault="00340C5D" w:rsidP="00340C5D">
      <w:pPr>
        <w:pStyle w:val="Akapitzlist"/>
        <w:numPr>
          <w:ilvl w:val="0"/>
          <w:numId w:val="7"/>
        </w:numPr>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t>Komenda Główna Policji;</w:t>
      </w:r>
    </w:p>
    <w:p w14:paraId="202D0921" w14:textId="77777777" w:rsidR="00340C5D" w:rsidRPr="00330A16" w:rsidRDefault="00340C5D" w:rsidP="00340C5D">
      <w:pPr>
        <w:pStyle w:val="Akapitzlist"/>
        <w:numPr>
          <w:ilvl w:val="0"/>
          <w:numId w:val="7"/>
        </w:numPr>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t>Centrum e-Zdrowie;</w:t>
      </w:r>
    </w:p>
    <w:p w14:paraId="7AC40822" w14:textId="118690AE" w:rsidR="00340C5D" w:rsidRPr="00330A16" w:rsidRDefault="00340C5D" w:rsidP="00340C5D">
      <w:pPr>
        <w:pStyle w:val="Akapitzlist"/>
        <w:numPr>
          <w:ilvl w:val="0"/>
          <w:numId w:val="7"/>
        </w:numPr>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t>Straż Graniczna;</w:t>
      </w:r>
    </w:p>
    <w:p w14:paraId="4D78F5B0" w14:textId="4666FACA" w:rsidR="00340C5D" w:rsidRPr="00330A16" w:rsidRDefault="00340C5D" w:rsidP="00340C5D">
      <w:pPr>
        <w:pStyle w:val="Akapitzlist"/>
        <w:numPr>
          <w:ilvl w:val="0"/>
          <w:numId w:val="7"/>
        </w:numPr>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t>Dowództwo Komponentu Wojsk Obrony Cyberprzestrzeni;</w:t>
      </w:r>
    </w:p>
    <w:p w14:paraId="34764C29" w14:textId="0F2FC374" w:rsidR="00340C5D" w:rsidRPr="00330A16" w:rsidRDefault="00340C5D" w:rsidP="00340C5D">
      <w:pPr>
        <w:pStyle w:val="Akapitzlist"/>
        <w:numPr>
          <w:ilvl w:val="0"/>
          <w:numId w:val="7"/>
        </w:numPr>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t>Urząd Ochrony Danych Osobowych.</w:t>
      </w:r>
    </w:p>
    <w:p w14:paraId="46C653F5" w14:textId="4A1B8C75" w:rsidR="00D32F56" w:rsidRPr="00330A16" w:rsidRDefault="00D32F56" w:rsidP="00D32F56">
      <w:pPr>
        <w:jc w:val="both"/>
        <w:rPr>
          <w:rFonts w:ascii="Times New Roman" w:hAnsi="Times New Roman" w:cs="Times New Roman"/>
          <w:sz w:val="20"/>
          <w:szCs w:val="20"/>
        </w:rPr>
      </w:pPr>
      <w:r w:rsidRPr="00330A16">
        <w:rPr>
          <w:rFonts w:ascii="Times New Roman" w:hAnsi="Times New Roman" w:cs="Times New Roman"/>
          <w:sz w:val="20"/>
          <w:szCs w:val="20"/>
        </w:rPr>
        <w:t>W ramach opiniowania wpłynęły uwagi</w:t>
      </w:r>
      <w:r w:rsidR="00340C5D" w:rsidRPr="00330A16">
        <w:rPr>
          <w:rFonts w:ascii="Times New Roman" w:hAnsi="Times New Roman" w:cs="Times New Roman"/>
          <w:sz w:val="20"/>
          <w:szCs w:val="20"/>
        </w:rPr>
        <w:t xml:space="preserve"> Dowództwa Komponentu Wojsk Obrony Cyberprzestrzeni, Centrum e-Zdrowie i Urzędu Ochrony Danych Osobowych.</w:t>
      </w:r>
    </w:p>
    <w:p w14:paraId="6E9785E9" w14:textId="3326C368" w:rsidR="00D32F56" w:rsidRPr="00330A16" w:rsidRDefault="00D32F56" w:rsidP="00D32F56">
      <w:pPr>
        <w:jc w:val="both"/>
        <w:rPr>
          <w:rFonts w:ascii="Times New Roman" w:hAnsi="Times New Roman" w:cs="Times New Roman"/>
          <w:sz w:val="20"/>
          <w:szCs w:val="20"/>
        </w:rPr>
      </w:pPr>
      <w:r w:rsidRPr="00330A16">
        <w:rPr>
          <w:rFonts w:ascii="Times New Roman" w:hAnsi="Times New Roman" w:cs="Times New Roman"/>
          <w:sz w:val="20"/>
          <w:szCs w:val="20"/>
        </w:rPr>
        <w:t>Pozostałe podmioty nie wniosły uwag do projektu.</w:t>
      </w:r>
    </w:p>
    <w:p w14:paraId="6FB8462F" w14:textId="3FE48BD0" w:rsidR="00D32F56" w:rsidRPr="00330A16" w:rsidRDefault="00D32F56" w:rsidP="00D32F56">
      <w:pPr>
        <w:jc w:val="both"/>
        <w:rPr>
          <w:rFonts w:ascii="Times New Roman" w:hAnsi="Times New Roman" w:cs="Times New Roman"/>
          <w:sz w:val="20"/>
          <w:szCs w:val="20"/>
        </w:rPr>
      </w:pPr>
      <w:r w:rsidRPr="00330A16">
        <w:rPr>
          <w:rFonts w:ascii="Times New Roman" w:hAnsi="Times New Roman" w:cs="Times New Roman"/>
          <w:sz w:val="20"/>
          <w:szCs w:val="20"/>
        </w:rPr>
        <w:t>Z uwagi na konieczność pilnego wejścia w życie i szczególny charakter regulacji nie przeprowadzono konsultacji publicznych projektu.</w:t>
      </w:r>
    </w:p>
    <w:p w14:paraId="699D9067" w14:textId="71233BC1" w:rsidR="00D32F56" w:rsidRPr="00330A16" w:rsidRDefault="00D32F56" w:rsidP="00D32F56">
      <w:pPr>
        <w:jc w:val="both"/>
        <w:rPr>
          <w:rFonts w:ascii="Times New Roman" w:hAnsi="Times New Roman" w:cs="Times New Roman"/>
          <w:sz w:val="20"/>
          <w:szCs w:val="20"/>
        </w:rPr>
      </w:pPr>
      <w:r w:rsidRPr="00330A16">
        <w:rPr>
          <w:rFonts w:ascii="Times New Roman" w:hAnsi="Times New Roman" w:cs="Times New Roman"/>
          <w:sz w:val="20"/>
          <w:szCs w:val="20"/>
        </w:rPr>
        <w:t xml:space="preserve">Omówienie zgłoszonych uwag zostało przedstawione w </w:t>
      </w:r>
      <w:r w:rsidRPr="00330A16">
        <w:rPr>
          <w:rFonts w:ascii="Times New Roman" w:hAnsi="Times New Roman" w:cs="Times New Roman"/>
          <w:b/>
          <w:bCs/>
          <w:sz w:val="20"/>
          <w:szCs w:val="20"/>
        </w:rPr>
        <w:t>załączniku do niniejszego Raportu</w:t>
      </w:r>
      <w:r w:rsidRPr="00330A16">
        <w:rPr>
          <w:rFonts w:ascii="Times New Roman" w:hAnsi="Times New Roman" w:cs="Times New Roman"/>
          <w:sz w:val="20"/>
          <w:szCs w:val="20"/>
        </w:rPr>
        <w:t>.</w:t>
      </w:r>
    </w:p>
    <w:p w14:paraId="5CB9ABC3" w14:textId="77777777" w:rsidR="00D32F56" w:rsidRPr="00330A16" w:rsidRDefault="00D32F56" w:rsidP="00D32F56">
      <w:pPr>
        <w:jc w:val="both"/>
        <w:rPr>
          <w:rFonts w:ascii="Times New Roman" w:hAnsi="Times New Roman" w:cs="Times New Roman"/>
          <w:sz w:val="20"/>
          <w:szCs w:val="20"/>
        </w:rPr>
      </w:pPr>
      <w:r w:rsidRPr="00330A16">
        <w:rPr>
          <w:rFonts w:ascii="Times New Roman" w:hAnsi="Times New Roman" w:cs="Times New Roman"/>
          <w:sz w:val="20"/>
          <w:szCs w:val="20"/>
        </w:rPr>
        <w:t xml:space="preserve">Konferencja uzgodnieniowa dotycząca omówienia zgłoszonych uwag i propozycji </w:t>
      </w:r>
      <w:r w:rsidRPr="00330A16">
        <w:rPr>
          <w:rFonts w:ascii="Times New Roman" w:hAnsi="Times New Roman" w:cs="Times New Roman"/>
          <w:sz w:val="20"/>
          <w:szCs w:val="20"/>
          <w:u w:val="single"/>
        </w:rPr>
        <w:t>nie jest przewidywana.</w:t>
      </w:r>
      <w:r w:rsidRPr="00330A16">
        <w:rPr>
          <w:rFonts w:ascii="Times New Roman" w:hAnsi="Times New Roman" w:cs="Times New Roman"/>
          <w:sz w:val="20"/>
          <w:szCs w:val="20"/>
        </w:rPr>
        <w:t xml:space="preserve"> </w:t>
      </w:r>
    </w:p>
    <w:p w14:paraId="59FF4AB4" w14:textId="5D5915EC" w:rsidR="00D32F56" w:rsidRPr="00330A16" w:rsidRDefault="00D32F56" w:rsidP="00D32F56">
      <w:pPr>
        <w:pStyle w:val="Akapitzlist"/>
        <w:numPr>
          <w:ilvl w:val="0"/>
          <w:numId w:val="1"/>
        </w:numPr>
        <w:jc w:val="both"/>
        <w:rPr>
          <w:rFonts w:ascii="Times New Roman" w:hAnsi="Times New Roman" w:cs="Times New Roman"/>
          <w:b/>
          <w:sz w:val="20"/>
          <w:szCs w:val="20"/>
        </w:rPr>
      </w:pPr>
      <w:r w:rsidRPr="00330A16">
        <w:rPr>
          <w:rFonts w:ascii="Times New Roman" w:hAnsi="Times New Roman" w:cs="Times New Roman"/>
          <w:b/>
          <w:sz w:val="20"/>
          <w:szCs w:val="20"/>
        </w:rPr>
        <w:t>Omówienie wyników zasięgnięcia opinii, dokonania konsultacji albo uzgodnienia projektu z</w:t>
      </w:r>
      <w:r w:rsidR="00294CF7" w:rsidRPr="00330A16">
        <w:rPr>
          <w:rFonts w:ascii="Times New Roman" w:hAnsi="Times New Roman" w:cs="Times New Roman"/>
          <w:b/>
          <w:sz w:val="20"/>
          <w:szCs w:val="20"/>
        </w:rPr>
        <w:t> </w:t>
      </w:r>
      <w:r w:rsidRPr="00330A16">
        <w:rPr>
          <w:rFonts w:ascii="Times New Roman" w:hAnsi="Times New Roman" w:cs="Times New Roman"/>
          <w:b/>
          <w:sz w:val="20"/>
          <w:szCs w:val="20"/>
        </w:rPr>
        <w:t>właściwymi organami i instytucjami Unii Europejskiej, w tym Europejskim Bankiem Centralnym</w:t>
      </w:r>
    </w:p>
    <w:p w14:paraId="31E1C6B0" w14:textId="4C92193A" w:rsidR="00D32F56" w:rsidRPr="00330A16" w:rsidRDefault="00D32F56" w:rsidP="00D32F56">
      <w:pPr>
        <w:jc w:val="both"/>
        <w:rPr>
          <w:rFonts w:ascii="Times New Roman" w:hAnsi="Times New Roman" w:cs="Times New Roman"/>
          <w:sz w:val="20"/>
          <w:szCs w:val="20"/>
        </w:rPr>
      </w:pPr>
      <w:r w:rsidRPr="00330A16">
        <w:rPr>
          <w:rFonts w:ascii="Times New Roman" w:hAnsi="Times New Roman" w:cs="Times New Roman"/>
          <w:sz w:val="20"/>
          <w:szCs w:val="20"/>
        </w:rPr>
        <w:t>Z uwagi na zakres projektu nie zasięg</w:t>
      </w:r>
      <w:r w:rsidR="00330A16">
        <w:rPr>
          <w:rFonts w:ascii="Times New Roman" w:hAnsi="Times New Roman" w:cs="Times New Roman"/>
          <w:sz w:val="20"/>
          <w:szCs w:val="20"/>
        </w:rPr>
        <w:t>nięto</w:t>
      </w:r>
      <w:r w:rsidRPr="00330A16">
        <w:rPr>
          <w:rFonts w:ascii="Times New Roman" w:hAnsi="Times New Roman" w:cs="Times New Roman"/>
          <w:sz w:val="20"/>
          <w:szCs w:val="20"/>
        </w:rPr>
        <w:t xml:space="preserve"> opinii oraz nie dokonywano konsultacji i uzgodnień z</w:t>
      </w:r>
      <w:r w:rsidR="009B7D9E" w:rsidRPr="00330A16">
        <w:rPr>
          <w:rFonts w:ascii="Times New Roman" w:hAnsi="Times New Roman" w:cs="Times New Roman"/>
          <w:sz w:val="20"/>
          <w:szCs w:val="20"/>
        </w:rPr>
        <w:t> </w:t>
      </w:r>
      <w:r w:rsidRPr="00330A16">
        <w:rPr>
          <w:rFonts w:ascii="Times New Roman" w:hAnsi="Times New Roman" w:cs="Times New Roman"/>
          <w:sz w:val="20"/>
          <w:szCs w:val="20"/>
        </w:rPr>
        <w:t>organami i</w:t>
      </w:r>
      <w:r w:rsidR="00330A16">
        <w:rPr>
          <w:rFonts w:ascii="Times New Roman" w:hAnsi="Times New Roman" w:cs="Times New Roman"/>
          <w:sz w:val="20"/>
          <w:szCs w:val="20"/>
        </w:rPr>
        <w:t> </w:t>
      </w:r>
      <w:r w:rsidRPr="00330A16">
        <w:rPr>
          <w:rFonts w:ascii="Times New Roman" w:hAnsi="Times New Roman" w:cs="Times New Roman"/>
          <w:sz w:val="20"/>
          <w:szCs w:val="20"/>
        </w:rPr>
        <w:t>instytucjami Unii Europejskiej, w tym z Europejskim Bankiem Centralnym.</w:t>
      </w:r>
    </w:p>
    <w:p w14:paraId="5EF3C7B9" w14:textId="77777777" w:rsidR="00D32F56" w:rsidRPr="00330A16" w:rsidRDefault="00D32F56" w:rsidP="00D32F56">
      <w:pPr>
        <w:rPr>
          <w:rFonts w:ascii="Times New Roman" w:hAnsi="Times New Roman" w:cs="Times New Roman"/>
          <w:b/>
          <w:sz w:val="20"/>
          <w:szCs w:val="20"/>
        </w:rPr>
      </w:pPr>
    </w:p>
    <w:p w14:paraId="4941DCFF" w14:textId="77777777" w:rsidR="00D32F56" w:rsidRPr="00330A16" w:rsidRDefault="00D32F56" w:rsidP="00D32F56">
      <w:pPr>
        <w:spacing w:after="0"/>
        <w:rPr>
          <w:rFonts w:ascii="Times New Roman" w:hAnsi="Times New Roman" w:cs="Times New Roman"/>
          <w:b/>
          <w:sz w:val="20"/>
          <w:szCs w:val="20"/>
        </w:rPr>
        <w:sectPr w:rsidR="00D32F56" w:rsidRPr="00330A16" w:rsidSect="00D32F56">
          <w:pgSz w:w="11906" w:h="16838"/>
          <w:pgMar w:top="1417" w:right="1417" w:bottom="1417" w:left="1417" w:header="708" w:footer="708" w:gutter="0"/>
          <w:cols w:space="708"/>
        </w:sectPr>
      </w:pPr>
    </w:p>
    <w:p w14:paraId="7EC805D7" w14:textId="77777777" w:rsidR="00D32F56" w:rsidRPr="00330A16" w:rsidRDefault="00D32F56" w:rsidP="00D32F56">
      <w:pPr>
        <w:rPr>
          <w:rFonts w:ascii="Times New Roman" w:hAnsi="Times New Roman" w:cs="Times New Roman"/>
          <w:b/>
          <w:sz w:val="20"/>
          <w:szCs w:val="20"/>
        </w:rPr>
      </w:pPr>
    </w:p>
    <w:p w14:paraId="5A94F5D3" w14:textId="77777777" w:rsidR="00D32F56" w:rsidRPr="00330A16" w:rsidRDefault="00D32F56" w:rsidP="00D32F56">
      <w:pPr>
        <w:jc w:val="right"/>
        <w:rPr>
          <w:rFonts w:ascii="Times New Roman" w:hAnsi="Times New Roman" w:cs="Times New Roman"/>
          <w:i/>
          <w:sz w:val="20"/>
          <w:szCs w:val="20"/>
        </w:rPr>
      </w:pPr>
      <w:r w:rsidRPr="00330A16">
        <w:rPr>
          <w:rFonts w:ascii="Times New Roman" w:hAnsi="Times New Roman" w:cs="Times New Roman"/>
          <w:i/>
          <w:sz w:val="20"/>
          <w:szCs w:val="20"/>
        </w:rPr>
        <w:t>Załącznik do Raportu</w:t>
      </w:r>
    </w:p>
    <w:p w14:paraId="1FA78F13" w14:textId="651438C3" w:rsidR="00D32F56" w:rsidRPr="00330A16" w:rsidRDefault="00D32F56" w:rsidP="00D32F56">
      <w:pPr>
        <w:jc w:val="center"/>
        <w:rPr>
          <w:rFonts w:ascii="Times New Roman" w:hAnsi="Times New Roman" w:cs="Times New Roman"/>
          <w:b/>
          <w:sz w:val="20"/>
          <w:szCs w:val="20"/>
        </w:rPr>
      </w:pPr>
      <w:r w:rsidRPr="00330A16">
        <w:rPr>
          <w:rFonts w:ascii="Times New Roman" w:hAnsi="Times New Roman" w:cs="Times New Roman"/>
          <w:b/>
          <w:sz w:val="20"/>
          <w:szCs w:val="20"/>
        </w:rPr>
        <w:t xml:space="preserve">ZESTAWIENIE UWAG I PROPOZYCJI ZGŁOSZONYCH W RAMACH </w:t>
      </w:r>
      <w:r w:rsidR="00340C5D" w:rsidRPr="00330A16">
        <w:rPr>
          <w:rFonts w:ascii="Times New Roman" w:hAnsi="Times New Roman" w:cs="Times New Roman"/>
          <w:b/>
          <w:sz w:val="20"/>
          <w:szCs w:val="20"/>
        </w:rPr>
        <w:t xml:space="preserve">OPINIOWANIA </w:t>
      </w:r>
      <w:r w:rsidRPr="00330A16">
        <w:rPr>
          <w:rFonts w:ascii="Times New Roman" w:hAnsi="Times New Roman" w:cs="Times New Roman"/>
          <w:b/>
          <w:sz w:val="20"/>
          <w:szCs w:val="20"/>
        </w:rPr>
        <w:t xml:space="preserve">PROJEKTU </w:t>
      </w:r>
      <w:r w:rsidR="00A66C3D" w:rsidRPr="00330A16">
        <w:rPr>
          <w:rFonts w:ascii="Times New Roman" w:hAnsi="Times New Roman" w:cs="Times New Roman"/>
          <w:b/>
          <w:sz w:val="20"/>
          <w:szCs w:val="20"/>
        </w:rPr>
        <w:t>UCHWAŁY</w:t>
      </w:r>
      <w:r w:rsidRPr="00330A16">
        <w:rPr>
          <w:rFonts w:ascii="Times New Roman" w:hAnsi="Times New Roman" w:cs="Times New Roman"/>
          <w:b/>
          <w:sz w:val="20"/>
          <w:szCs w:val="20"/>
        </w:rPr>
        <w:t xml:space="preserve"> RADY MINISTRÓW ZMIENIAJĄC</w:t>
      </w:r>
      <w:r w:rsidR="00A66C3D" w:rsidRPr="00330A16">
        <w:rPr>
          <w:rFonts w:ascii="Times New Roman" w:hAnsi="Times New Roman" w:cs="Times New Roman"/>
          <w:b/>
          <w:sz w:val="20"/>
          <w:szCs w:val="20"/>
        </w:rPr>
        <w:t>EJ</w:t>
      </w:r>
      <w:r w:rsidRPr="00330A16">
        <w:rPr>
          <w:rFonts w:ascii="Times New Roman" w:hAnsi="Times New Roman" w:cs="Times New Roman"/>
          <w:b/>
          <w:sz w:val="20"/>
          <w:szCs w:val="20"/>
        </w:rPr>
        <w:t xml:space="preserve"> </w:t>
      </w:r>
      <w:r w:rsidR="00A66C3D" w:rsidRPr="00330A16">
        <w:rPr>
          <w:rFonts w:ascii="Times New Roman" w:hAnsi="Times New Roman" w:cs="Times New Roman"/>
          <w:b/>
          <w:sz w:val="20"/>
          <w:szCs w:val="20"/>
        </w:rPr>
        <w:t xml:space="preserve">UCHWAŁĘ </w:t>
      </w:r>
      <w:r w:rsidRPr="00330A16">
        <w:rPr>
          <w:rFonts w:ascii="Times New Roman" w:hAnsi="Times New Roman" w:cs="Times New Roman"/>
          <w:b/>
          <w:sz w:val="20"/>
          <w:szCs w:val="20"/>
        </w:rPr>
        <w:t xml:space="preserve">W SPRAWIE </w:t>
      </w:r>
      <w:r w:rsidR="00A66C3D" w:rsidRPr="00330A16">
        <w:rPr>
          <w:rFonts w:ascii="Times New Roman" w:hAnsi="Times New Roman" w:cs="Times New Roman"/>
          <w:b/>
          <w:sz w:val="20"/>
          <w:szCs w:val="20"/>
        </w:rPr>
        <w:t>INICJATYWY „WSPÓLNA INFRASTRUKTURA INFORMATYCZNA PAŃSTWA”</w:t>
      </w:r>
    </w:p>
    <w:p w14:paraId="7A288332" w14:textId="77777777" w:rsidR="00D32F56" w:rsidRPr="00330A16" w:rsidRDefault="00D32F56" w:rsidP="00D32F56">
      <w:pPr>
        <w:rPr>
          <w:rFonts w:ascii="Times New Roman" w:hAnsi="Times New Roman" w:cs="Times New Roman"/>
          <w:sz w:val="20"/>
          <w:szCs w:val="20"/>
        </w:rPr>
      </w:pPr>
    </w:p>
    <w:tbl>
      <w:tblPr>
        <w:tblStyle w:val="Tabela-Siatka"/>
        <w:tblW w:w="0" w:type="auto"/>
        <w:tblInd w:w="0" w:type="dxa"/>
        <w:tblLook w:val="04A0" w:firstRow="1" w:lastRow="0" w:firstColumn="1" w:lastColumn="0" w:noHBand="0" w:noVBand="1"/>
      </w:tblPr>
      <w:tblGrid>
        <w:gridCol w:w="435"/>
        <w:gridCol w:w="1323"/>
        <w:gridCol w:w="972"/>
        <w:gridCol w:w="4820"/>
        <w:gridCol w:w="1512"/>
      </w:tblGrid>
      <w:tr w:rsidR="00A66C3D" w:rsidRPr="00330A16" w14:paraId="09BAB82C" w14:textId="77777777" w:rsidTr="00D32F56">
        <w:tc>
          <w:tcPr>
            <w:tcW w:w="0" w:type="auto"/>
            <w:tcBorders>
              <w:top w:val="single" w:sz="4" w:space="0" w:color="auto"/>
              <w:left w:val="single" w:sz="4" w:space="0" w:color="auto"/>
              <w:bottom w:val="single" w:sz="4" w:space="0" w:color="auto"/>
              <w:right w:val="single" w:sz="4" w:space="0" w:color="auto"/>
            </w:tcBorders>
            <w:vAlign w:val="center"/>
            <w:hideMark/>
          </w:tcPr>
          <w:p w14:paraId="7F3E1750" w14:textId="77777777" w:rsidR="00D32F56" w:rsidRPr="00330A16" w:rsidRDefault="00D32F56">
            <w:pPr>
              <w:spacing w:line="240" w:lineRule="auto"/>
              <w:jc w:val="center"/>
              <w:rPr>
                <w:rFonts w:ascii="Times New Roman" w:hAnsi="Times New Roman" w:cs="Times New Roman"/>
                <w:b/>
                <w:sz w:val="20"/>
                <w:szCs w:val="20"/>
              </w:rPr>
            </w:pPr>
            <w:r w:rsidRPr="00330A16">
              <w:rPr>
                <w:rFonts w:ascii="Times New Roman" w:hAnsi="Times New Roman" w:cs="Times New Roman"/>
                <w:b/>
                <w:sz w:val="20"/>
                <w:szCs w:val="20"/>
              </w:rPr>
              <w:t>Lp.</w:t>
            </w:r>
          </w:p>
        </w:tc>
        <w:tc>
          <w:tcPr>
            <w:tcW w:w="0" w:type="auto"/>
            <w:tcBorders>
              <w:top w:val="single" w:sz="4" w:space="0" w:color="auto"/>
              <w:left w:val="single" w:sz="4" w:space="0" w:color="auto"/>
              <w:bottom w:val="single" w:sz="4" w:space="0" w:color="auto"/>
              <w:right w:val="single" w:sz="4" w:space="0" w:color="auto"/>
            </w:tcBorders>
            <w:vAlign w:val="center"/>
            <w:hideMark/>
          </w:tcPr>
          <w:p w14:paraId="0C114589" w14:textId="77777777" w:rsidR="00D32F56" w:rsidRPr="00330A16" w:rsidRDefault="00D32F56">
            <w:pPr>
              <w:spacing w:line="240" w:lineRule="auto"/>
              <w:jc w:val="center"/>
              <w:rPr>
                <w:rFonts w:ascii="Times New Roman" w:hAnsi="Times New Roman" w:cs="Times New Roman"/>
                <w:b/>
                <w:sz w:val="20"/>
                <w:szCs w:val="20"/>
              </w:rPr>
            </w:pPr>
            <w:r w:rsidRPr="00330A16">
              <w:rPr>
                <w:rFonts w:ascii="Times New Roman" w:hAnsi="Times New Roman" w:cs="Times New Roman"/>
                <w:b/>
                <w:sz w:val="20"/>
                <w:szCs w:val="20"/>
              </w:rPr>
              <w:t>Organ wnoszący uwagi</w:t>
            </w:r>
          </w:p>
        </w:tc>
        <w:tc>
          <w:tcPr>
            <w:tcW w:w="0" w:type="auto"/>
            <w:tcBorders>
              <w:top w:val="single" w:sz="4" w:space="0" w:color="auto"/>
              <w:left w:val="single" w:sz="4" w:space="0" w:color="auto"/>
              <w:bottom w:val="single" w:sz="4" w:space="0" w:color="auto"/>
              <w:right w:val="single" w:sz="4" w:space="0" w:color="auto"/>
            </w:tcBorders>
            <w:vAlign w:val="center"/>
            <w:hideMark/>
          </w:tcPr>
          <w:p w14:paraId="0DA55AC9" w14:textId="77777777" w:rsidR="00D32F56" w:rsidRPr="00330A16" w:rsidRDefault="00D32F56">
            <w:pPr>
              <w:spacing w:line="240" w:lineRule="auto"/>
              <w:jc w:val="center"/>
              <w:rPr>
                <w:rFonts w:ascii="Times New Roman" w:hAnsi="Times New Roman" w:cs="Times New Roman"/>
                <w:b/>
                <w:sz w:val="20"/>
                <w:szCs w:val="20"/>
              </w:rPr>
            </w:pPr>
            <w:r w:rsidRPr="00330A16">
              <w:rPr>
                <w:rFonts w:ascii="Times New Roman" w:hAnsi="Times New Roman" w:cs="Times New Roman"/>
                <w:b/>
                <w:sz w:val="20"/>
                <w:szCs w:val="20"/>
              </w:rPr>
              <w:t>Jednostka redakcyjna, do której wnoszone są uwagi</w:t>
            </w:r>
          </w:p>
        </w:tc>
        <w:tc>
          <w:tcPr>
            <w:tcW w:w="0" w:type="auto"/>
            <w:tcBorders>
              <w:top w:val="single" w:sz="4" w:space="0" w:color="auto"/>
              <w:left w:val="single" w:sz="4" w:space="0" w:color="auto"/>
              <w:bottom w:val="single" w:sz="4" w:space="0" w:color="auto"/>
              <w:right w:val="single" w:sz="4" w:space="0" w:color="auto"/>
            </w:tcBorders>
            <w:vAlign w:val="center"/>
            <w:hideMark/>
          </w:tcPr>
          <w:p w14:paraId="1B988579" w14:textId="77777777" w:rsidR="00D32F56" w:rsidRPr="00330A16" w:rsidRDefault="00D32F56">
            <w:pPr>
              <w:spacing w:line="240" w:lineRule="auto"/>
              <w:jc w:val="center"/>
              <w:rPr>
                <w:rFonts w:ascii="Times New Roman" w:hAnsi="Times New Roman" w:cs="Times New Roman"/>
                <w:b/>
                <w:sz w:val="20"/>
                <w:szCs w:val="20"/>
              </w:rPr>
            </w:pPr>
            <w:r w:rsidRPr="00330A16">
              <w:rPr>
                <w:rFonts w:ascii="Times New Roman" w:hAnsi="Times New Roman" w:cs="Times New Roman"/>
                <w:b/>
                <w:sz w:val="20"/>
                <w:szCs w:val="20"/>
              </w:rPr>
              <w:t>Treść uwagi</w:t>
            </w:r>
          </w:p>
        </w:tc>
        <w:tc>
          <w:tcPr>
            <w:tcW w:w="0" w:type="auto"/>
            <w:tcBorders>
              <w:top w:val="single" w:sz="4" w:space="0" w:color="auto"/>
              <w:left w:val="single" w:sz="4" w:space="0" w:color="auto"/>
              <w:bottom w:val="single" w:sz="4" w:space="0" w:color="auto"/>
              <w:right w:val="single" w:sz="4" w:space="0" w:color="auto"/>
            </w:tcBorders>
            <w:vAlign w:val="center"/>
            <w:hideMark/>
          </w:tcPr>
          <w:p w14:paraId="45452C21" w14:textId="77777777" w:rsidR="00D32F56" w:rsidRPr="00330A16" w:rsidRDefault="00D32F56">
            <w:pPr>
              <w:spacing w:line="240" w:lineRule="auto"/>
              <w:jc w:val="center"/>
              <w:rPr>
                <w:rFonts w:ascii="Times New Roman" w:hAnsi="Times New Roman" w:cs="Times New Roman"/>
                <w:b/>
                <w:sz w:val="20"/>
                <w:szCs w:val="20"/>
              </w:rPr>
            </w:pPr>
            <w:r w:rsidRPr="00330A16">
              <w:rPr>
                <w:rFonts w:ascii="Times New Roman" w:hAnsi="Times New Roman" w:cs="Times New Roman"/>
                <w:b/>
                <w:sz w:val="20"/>
                <w:szCs w:val="20"/>
              </w:rPr>
              <w:t>Stanowisko Projektodawcy</w:t>
            </w:r>
          </w:p>
        </w:tc>
      </w:tr>
      <w:tr w:rsidR="00A66C3D" w:rsidRPr="00330A16" w14:paraId="6020D0DE" w14:textId="77777777" w:rsidTr="00D32F56">
        <w:tc>
          <w:tcPr>
            <w:tcW w:w="0" w:type="auto"/>
            <w:tcBorders>
              <w:top w:val="single" w:sz="4" w:space="0" w:color="auto"/>
              <w:left w:val="single" w:sz="4" w:space="0" w:color="auto"/>
              <w:bottom w:val="single" w:sz="4" w:space="0" w:color="auto"/>
              <w:right w:val="single" w:sz="4" w:space="0" w:color="auto"/>
            </w:tcBorders>
            <w:vAlign w:val="center"/>
            <w:hideMark/>
          </w:tcPr>
          <w:p w14:paraId="5B381CB7" w14:textId="77777777" w:rsidR="00D32F56" w:rsidRPr="00330A16" w:rsidRDefault="00D32F56">
            <w:pPr>
              <w:spacing w:line="240" w:lineRule="auto"/>
              <w:jc w:val="center"/>
              <w:rPr>
                <w:rFonts w:ascii="Times New Roman" w:hAnsi="Times New Roman" w:cs="Times New Roman"/>
                <w:b/>
                <w:sz w:val="20"/>
                <w:szCs w:val="20"/>
              </w:rPr>
            </w:pPr>
            <w:r w:rsidRPr="00330A16">
              <w:rPr>
                <w:rFonts w:ascii="Times New Roman" w:hAnsi="Times New Roman" w:cs="Times New Roman"/>
                <w:b/>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14:paraId="12B2832E" w14:textId="16C2CBB1" w:rsidR="00D32F56" w:rsidRPr="00330A16" w:rsidRDefault="00340C5D">
            <w:pPr>
              <w:spacing w:line="240" w:lineRule="auto"/>
              <w:rPr>
                <w:rFonts w:ascii="Times New Roman" w:hAnsi="Times New Roman" w:cs="Times New Roman"/>
                <w:b/>
                <w:sz w:val="20"/>
                <w:szCs w:val="20"/>
              </w:rPr>
            </w:pPr>
            <w:r w:rsidRPr="00330A16">
              <w:rPr>
                <w:rFonts w:ascii="Times New Roman" w:hAnsi="Times New Roman" w:cs="Times New Roman"/>
                <w:b/>
                <w:sz w:val="20"/>
                <w:szCs w:val="20"/>
              </w:rPr>
              <w:t>Dowództwo Komponentu Wojsk Obrony Cyberprzestrzeni</w:t>
            </w:r>
          </w:p>
        </w:tc>
        <w:tc>
          <w:tcPr>
            <w:tcW w:w="0" w:type="auto"/>
            <w:tcBorders>
              <w:top w:val="single" w:sz="4" w:space="0" w:color="auto"/>
              <w:left w:val="single" w:sz="4" w:space="0" w:color="auto"/>
              <w:bottom w:val="single" w:sz="4" w:space="0" w:color="auto"/>
              <w:right w:val="single" w:sz="4" w:space="0" w:color="auto"/>
            </w:tcBorders>
            <w:hideMark/>
          </w:tcPr>
          <w:p w14:paraId="655F485C" w14:textId="1274540B" w:rsidR="00D32F56" w:rsidRPr="00330A16" w:rsidRDefault="00340C5D">
            <w:pPr>
              <w:spacing w:line="240" w:lineRule="auto"/>
              <w:rPr>
                <w:rFonts w:ascii="Times New Roman" w:hAnsi="Times New Roman" w:cs="Times New Roman"/>
                <w:i/>
                <w:sz w:val="20"/>
                <w:szCs w:val="20"/>
              </w:rPr>
            </w:pPr>
            <w:r w:rsidRPr="00330A16">
              <w:rPr>
                <w:rFonts w:ascii="Times New Roman" w:hAnsi="Times New Roman" w:cs="Times New Roman"/>
                <w:b/>
                <w:i/>
                <w:sz w:val="20"/>
                <w:szCs w:val="20"/>
              </w:rPr>
              <w:t>Uwaga ogólna (§1 poz. 1 tabeli)</w:t>
            </w:r>
          </w:p>
        </w:tc>
        <w:tc>
          <w:tcPr>
            <w:tcW w:w="0" w:type="auto"/>
            <w:tcBorders>
              <w:top w:val="single" w:sz="4" w:space="0" w:color="auto"/>
              <w:left w:val="single" w:sz="4" w:space="0" w:color="auto"/>
              <w:bottom w:val="single" w:sz="4" w:space="0" w:color="auto"/>
              <w:right w:val="single" w:sz="4" w:space="0" w:color="auto"/>
            </w:tcBorders>
            <w:hideMark/>
          </w:tcPr>
          <w:p w14:paraId="719B63FB" w14:textId="77777777" w:rsidR="00340C5D" w:rsidRPr="00330A16" w:rsidRDefault="00340C5D" w:rsidP="00340C5D">
            <w:pPr>
              <w:spacing w:line="280" w:lineRule="exact"/>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t xml:space="preserve">W § 1 projektu, który zmienia tabelę zawartą w ust. 1 załącznika nr 2, proponuje się poz. 1 nadać brzmienie: </w:t>
            </w:r>
          </w:p>
          <w:p w14:paraId="71578BD7" w14:textId="77777777" w:rsidR="00340C5D" w:rsidRPr="00330A16" w:rsidRDefault="00340C5D" w:rsidP="00340C5D">
            <w:pPr>
              <w:spacing w:line="280" w:lineRule="exact"/>
              <w:contextualSpacing/>
              <w:jc w:val="both"/>
              <w:rPr>
                <w:rFonts w:ascii="Times New Roman" w:eastAsia="Calibri" w:hAnsi="Times New Roman" w:cs="Times New Roman"/>
                <w:sz w:val="20"/>
                <w:szCs w:val="20"/>
              </w:rPr>
            </w:pPr>
          </w:p>
          <w:tbl>
            <w:tblPr>
              <w:tblStyle w:val="Tabela-Siatka"/>
              <w:tblW w:w="0" w:type="auto"/>
              <w:tblInd w:w="0" w:type="dxa"/>
              <w:tblLook w:val="04A0" w:firstRow="1" w:lastRow="0" w:firstColumn="1" w:lastColumn="0" w:noHBand="0" w:noVBand="1"/>
            </w:tblPr>
            <w:tblGrid>
              <w:gridCol w:w="355"/>
              <w:gridCol w:w="1327"/>
              <w:gridCol w:w="324"/>
              <w:gridCol w:w="324"/>
              <w:gridCol w:w="324"/>
              <w:gridCol w:w="324"/>
              <w:gridCol w:w="1616"/>
            </w:tblGrid>
            <w:tr w:rsidR="00340C5D" w:rsidRPr="00330A16" w14:paraId="2709158B" w14:textId="77777777" w:rsidTr="00340C5D">
              <w:tc>
                <w:tcPr>
                  <w:tcW w:w="561" w:type="dxa"/>
                  <w:tcBorders>
                    <w:top w:val="single" w:sz="4" w:space="0" w:color="auto"/>
                    <w:left w:val="single" w:sz="4" w:space="0" w:color="auto"/>
                    <w:bottom w:val="single" w:sz="4" w:space="0" w:color="auto"/>
                    <w:right w:val="single" w:sz="4" w:space="0" w:color="auto"/>
                  </w:tcBorders>
                  <w:hideMark/>
                </w:tcPr>
                <w:p w14:paraId="469CBA74" w14:textId="77777777" w:rsidR="00340C5D" w:rsidRPr="00330A16" w:rsidRDefault="00340C5D" w:rsidP="00340C5D">
                  <w:pPr>
                    <w:spacing w:line="280" w:lineRule="exact"/>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t>„1</w:t>
                  </w:r>
                </w:p>
              </w:tc>
              <w:tc>
                <w:tcPr>
                  <w:tcW w:w="1747" w:type="dxa"/>
                  <w:tcBorders>
                    <w:top w:val="single" w:sz="4" w:space="0" w:color="auto"/>
                    <w:left w:val="single" w:sz="4" w:space="0" w:color="auto"/>
                    <w:bottom w:val="single" w:sz="4" w:space="0" w:color="auto"/>
                    <w:right w:val="single" w:sz="4" w:space="0" w:color="auto"/>
                  </w:tcBorders>
                  <w:hideMark/>
                </w:tcPr>
                <w:p w14:paraId="05A9DE05" w14:textId="77777777" w:rsidR="00340C5D" w:rsidRPr="00330A16" w:rsidRDefault="00340C5D" w:rsidP="00340C5D">
                  <w:pPr>
                    <w:spacing w:line="280" w:lineRule="exact"/>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t>Systemy teleinformatyczne, w których są przetwarzane informacje niejawne</w:t>
                  </w:r>
                </w:p>
              </w:tc>
              <w:tc>
                <w:tcPr>
                  <w:tcW w:w="664" w:type="dxa"/>
                  <w:tcBorders>
                    <w:top w:val="single" w:sz="4" w:space="0" w:color="auto"/>
                    <w:left w:val="single" w:sz="4" w:space="0" w:color="auto"/>
                    <w:bottom w:val="single" w:sz="4" w:space="0" w:color="auto"/>
                    <w:right w:val="single" w:sz="4" w:space="0" w:color="auto"/>
                  </w:tcBorders>
                  <w:hideMark/>
                </w:tcPr>
                <w:p w14:paraId="60B70C2E" w14:textId="77777777" w:rsidR="00340C5D" w:rsidRPr="00330A16" w:rsidRDefault="00340C5D" w:rsidP="00340C5D">
                  <w:pPr>
                    <w:spacing w:line="280" w:lineRule="exact"/>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t>X</w:t>
                  </w:r>
                </w:p>
              </w:tc>
              <w:tc>
                <w:tcPr>
                  <w:tcW w:w="709" w:type="dxa"/>
                  <w:tcBorders>
                    <w:top w:val="single" w:sz="4" w:space="0" w:color="auto"/>
                    <w:left w:val="single" w:sz="4" w:space="0" w:color="auto"/>
                    <w:bottom w:val="single" w:sz="4" w:space="0" w:color="auto"/>
                    <w:right w:val="single" w:sz="4" w:space="0" w:color="auto"/>
                  </w:tcBorders>
                  <w:hideMark/>
                </w:tcPr>
                <w:p w14:paraId="695B1A8C" w14:textId="77777777" w:rsidR="00340C5D" w:rsidRPr="00330A16" w:rsidRDefault="00340C5D" w:rsidP="00340C5D">
                  <w:pPr>
                    <w:spacing w:line="280" w:lineRule="exact"/>
                    <w:jc w:val="both"/>
                    <w:rPr>
                      <w:rFonts w:ascii="Times New Roman" w:eastAsia="Calibri" w:hAnsi="Times New Roman" w:cs="Times New Roman"/>
                      <w:b/>
                      <w:sz w:val="20"/>
                      <w:szCs w:val="20"/>
                      <w:u w:val="single"/>
                    </w:rPr>
                  </w:pPr>
                  <w:r w:rsidRPr="00330A16">
                    <w:rPr>
                      <w:rFonts w:ascii="Times New Roman" w:eastAsia="Calibri" w:hAnsi="Times New Roman" w:cs="Times New Roman"/>
                      <w:b/>
                      <w:sz w:val="20"/>
                      <w:szCs w:val="20"/>
                      <w:u w:val="single"/>
                    </w:rPr>
                    <w:t>X</w:t>
                  </w:r>
                </w:p>
              </w:tc>
              <w:tc>
                <w:tcPr>
                  <w:tcW w:w="709" w:type="dxa"/>
                  <w:tcBorders>
                    <w:top w:val="single" w:sz="4" w:space="0" w:color="auto"/>
                    <w:left w:val="single" w:sz="4" w:space="0" w:color="auto"/>
                    <w:bottom w:val="single" w:sz="4" w:space="0" w:color="auto"/>
                    <w:right w:val="single" w:sz="4" w:space="0" w:color="auto"/>
                  </w:tcBorders>
                  <w:hideMark/>
                </w:tcPr>
                <w:p w14:paraId="671664E4" w14:textId="77777777" w:rsidR="00340C5D" w:rsidRPr="00330A16" w:rsidRDefault="00340C5D" w:rsidP="00340C5D">
                  <w:pPr>
                    <w:spacing w:line="280" w:lineRule="exact"/>
                    <w:jc w:val="both"/>
                    <w:rPr>
                      <w:rFonts w:ascii="Times New Roman" w:eastAsia="Calibri" w:hAnsi="Times New Roman" w:cs="Times New Roman"/>
                      <w:b/>
                      <w:sz w:val="20"/>
                      <w:szCs w:val="20"/>
                      <w:u w:val="single"/>
                    </w:rPr>
                  </w:pPr>
                  <w:r w:rsidRPr="00330A16">
                    <w:rPr>
                      <w:rFonts w:ascii="Times New Roman" w:eastAsia="Calibri" w:hAnsi="Times New Roman" w:cs="Times New Roman"/>
                      <w:b/>
                      <w:sz w:val="20"/>
                      <w:szCs w:val="20"/>
                      <w:u w:val="single"/>
                    </w:rPr>
                    <w:t>X</w:t>
                  </w:r>
                </w:p>
              </w:tc>
              <w:tc>
                <w:tcPr>
                  <w:tcW w:w="708" w:type="dxa"/>
                  <w:tcBorders>
                    <w:top w:val="single" w:sz="4" w:space="0" w:color="auto"/>
                    <w:left w:val="single" w:sz="4" w:space="0" w:color="auto"/>
                    <w:bottom w:val="single" w:sz="4" w:space="0" w:color="auto"/>
                    <w:right w:val="single" w:sz="4" w:space="0" w:color="auto"/>
                  </w:tcBorders>
                  <w:hideMark/>
                </w:tcPr>
                <w:p w14:paraId="61297E94" w14:textId="77777777" w:rsidR="00340C5D" w:rsidRPr="00330A16" w:rsidRDefault="00340C5D" w:rsidP="00340C5D">
                  <w:pPr>
                    <w:spacing w:line="280" w:lineRule="exact"/>
                    <w:jc w:val="both"/>
                    <w:rPr>
                      <w:rFonts w:ascii="Times New Roman" w:eastAsia="Calibri" w:hAnsi="Times New Roman" w:cs="Times New Roman"/>
                      <w:b/>
                      <w:sz w:val="20"/>
                      <w:szCs w:val="20"/>
                      <w:u w:val="single"/>
                    </w:rPr>
                  </w:pPr>
                  <w:r w:rsidRPr="00330A16">
                    <w:rPr>
                      <w:rFonts w:ascii="Times New Roman" w:eastAsia="Calibri" w:hAnsi="Times New Roman" w:cs="Times New Roman"/>
                      <w:b/>
                      <w:sz w:val="20"/>
                      <w:szCs w:val="20"/>
                      <w:u w:val="single"/>
                    </w:rPr>
                    <w:t>X</w:t>
                  </w:r>
                </w:p>
              </w:tc>
              <w:tc>
                <w:tcPr>
                  <w:tcW w:w="2828" w:type="dxa"/>
                  <w:tcBorders>
                    <w:top w:val="single" w:sz="4" w:space="0" w:color="auto"/>
                    <w:left w:val="single" w:sz="4" w:space="0" w:color="auto"/>
                    <w:bottom w:val="single" w:sz="4" w:space="0" w:color="auto"/>
                    <w:right w:val="single" w:sz="4" w:space="0" w:color="auto"/>
                  </w:tcBorders>
                  <w:hideMark/>
                </w:tcPr>
                <w:p w14:paraId="0FE9E85B" w14:textId="77777777" w:rsidR="00340C5D" w:rsidRPr="00330A16" w:rsidRDefault="00340C5D" w:rsidP="00340C5D">
                  <w:pPr>
                    <w:spacing w:line="280" w:lineRule="exact"/>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t xml:space="preserve">Dotyczy to systemów teleinformatycznych, które wprost w przepisach powszechnie obowiązujących są określone jako systemy niejawne lub w stosunku do których uprawnione organy wskazały, że są w nich przetwarzane informacje niejawne. </w:t>
                  </w:r>
                </w:p>
                <w:p w14:paraId="1B83B6D0" w14:textId="77777777" w:rsidR="00340C5D" w:rsidRPr="00330A16" w:rsidRDefault="00340C5D" w:rsidP="00340C5D">
                  <w:pPr>
                    <w:spacing w:line="280" w:lineRule="exact"/>
                    <w:jc w:val="both"/>
                    <w:rPr>
                      <w:rFonts w:ascii="Times New Roman" w:eastAsia="Calibri" w:hAnsi="Times New Roman" w:cs="Times New Roman"/>
                      <w:sz w:val="20"/>
                      <w:szCs w:val="20"/>
                      <w:u w:val="single"/>
                    </w:rPr>
                  </w:pPr>
                  <w:r w:rsidRPr="00330A16">
                    <w:rPr>
                      <w:rFonts w:ascii="Times New Roman" w:eastAsia="Calibri" w:hAnsi="Times New Roman" w:cs="Times New Roman"/>
                      <w:b/>
                      <w:sz w:val="20"/>
                      <w:szCs w:val="20"/>
                      <w:u w:val="single"/>
                    </w:rPr>
                    <w:t>W zależności od dokonanej analizy przez podmiot odpowiedzialny za system teleinformatyczny i uzyskania akredytacji systemu teleinformatycznego.”</w:t>
                  </w:r>
                </w:p>
              </w:tc>
            </w:tr>
          </w:tbl>
          <w:p w14:paraId="228C3004" w14:textId="77777777" w:rsidR="00340C5D" w:rsidRPr="00330A16" w:rsidRDefault="00340C5D" w:rsidP="00340C5D">
            <w:pPr>
              <w:spacing w:line="280" w:lineRule="exact"/>
              <w:contextualSpacing/>
              <w:jc w:val="both"/>
              <w:rPr>
                <w:rFonts w:ascii="Times New Roman" w:eastAsia="Calibri" w:hAnsi="Times New Roman" w:cs="Times New Roman"/>
                <w:kern w:val="2"/>
                <w:sz w:val="20"/>
                <w:szCs w:val="20"/>
                <w14:ligatures w14:val="standardContextual"/>
              </w:rPr>
            </w:pPr>
          </w:p>
          <w:p w14:paraId="771ADDF8" w14:textId="47A39411" w:rsidR="00340C5D" w:rsidRPr="00330A16" w:rsidRDefault="00340C5D" w:rsidP="00340C5D">
            <w:pPr>
              <w:spacing w:line="280" w:lineRule="exact"/>
              <w:contextualSpacing/>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lastRenderedPageBreak/>
              <w:t>Zapis w pozycji nr 1 w tabeli zawartej w projekcie uchwały Rady Ministrów w sprawie Inicjatywy „Wspólna Infrastruktura Informatyczna Państwa”, w dalszym ciągu, będzie uniemożliwiał Siłom Zbrojnym RP korzystanie z</w:t>
            </w:r>
            <w:r w:rsidR="00330A16">
              <w:rPr>
                <w:rFonts w:ascii="Times New Roman" w:eastAsia="Calibri" w:hAnsi="Times New Roman" w:cs="Times New Roman"/>
                <w:sz w:val="20"/>
                <w:szCs w:val="20"/>
              </w:rPr>
              <w:t> </w:t>
            </w:r>
            <w:r w:rsidRPr="00330A16">
              <w:rPr>
                <w:rFonts w:ascii="Times New Roman" w:eastAsia="Calibri" w:hAnsi="Times New Roman" w:cs="Times New Roman"/>
                <w:sz w:val="20"/>
                <w:szCs w:val="20"/>
              </w:rPr>
              <w:t xml:space="preserve">chmury obliczeniowej w zakresie systemów teleinformatycznych niejawnych. </w:t>
            </w:r>
          </w:p>
          <w:p w14:paraId="78F5E810" w14:textId="266EA4CB" w:rsidR="00340C5D" w:rsidRPr="00330A16" w:rsidRDefault="00340C5D" w:rsidP="00340C5D">
            <w:pPr>
              <w:spacing w:line="280" w:lineRule="exact"/>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t>Uwzględniając wnioski z agresji Rosji na Ukrainę i skutki jakie odniosła ta agresja na funkcjonowanie wszystkich systemów teleinformatycznych Ukrainy, zapis ten powinien być skorygowany do takiej samej formy jak wiersz pozycje 2 (art. 11 ustawy o ABW cyt.: „(…) oraz służb rozpoznania SZ RP”), 3, 4, aby SZP RP były w</w:t>
            </w:r>
            <w:r w:rsidR="00330A16">
              <w:rPr>
                <w:rFonts w:ascii="Times New Roman" w:eastAsia="Calibri" w:hAnsi="Times New Roman" w:cs="Times New Roman"/>
                <w:sz w:val="20"/>
                <w:szCs w:val="20"/>
              </w:rPr>
              <w:t> </w:t>
            </w:r>
            <w:r w:rsidRPr="00330A16">
              <w:rPr>
                <w:rFonts w:ascii="Times New Roman" w:eastAsia="Calibri" w:hAnsi="Times New Roman" w:cs="Times New Roman"/>
                <w:sz w:val="20"/>
                <w:szCs w:val="20"/>
              </w:rPr>
              <w:t xml:space="preserve">stanie w pełni realizować swoje zadania w zakresie obronności państwa. Doświadczenia z wojny w Ukrainie wskazują na konieczność posiadania możliwości skorzystania z publicznej chmury obliczeniowej, zarówno pod względem interoperacyjności, jak i ciągłości dostarczania usług. </w:t>
            </w:r>
          </w:p>
          <w:p w14:paraId="1367EAA9" w14:textId="1C03D893" w:rsidR="00D32F56" w:rsidRPr="00330A16" w:rsidRDefault="00340C5D" w:rsidP="00340C5D">
            <w:pPr>
              <w:spacing w:line="280" w:lineRule="exact"/>
              <w:contextualSpacing/>
              <w:jc w:val="both"/>
              <w:rPr>
                <w:rFonts w:ascii="Times New Roman" w:eastAsia="Calibri" w:hAnsi="Times New Roman" w:cs="Times New Roman"/>
                <w:sz w:val="20"/>
                <w:szCs w:val="20"/>
              </w:rPr>
            </w:pPr>
            <w:r w:rsidRPr="00330A16">
              <w:rPr>
                <w:rFonts w:ascii="Times New Roman" w:eastAsia="Calibri" w:hAnsi="Times New Roman" w:cs="Times New Roman"/>
                <w:sz w:val="20"/>
                <w:szCs w:val="20"/>
              </w:rPr>
              <w:t>Zwrócić również należy uwagę na fakt, iż aktualnie w</w:t>
            </w:r>
            <w:r w:rsidR="00330A16">
              <w:rPr>
                <w:rFonts w:ascii="Times New Roman" w:eastAsia="Calibri" w:hAnsi="Times New Roman" w:cs="Times New Roman"/>
                <w:sz w:val="20"/>
                <w:szCs w:val="20"/>
              </w:rPr>
              <w:t> </w:t>
            </w:r>
            <w:r w:rsidRPr="00330A16">
              <w:rPr>
                <w:rFonts w:ascii="Times New Roman" w:eastAsia="Calibri" w:hAnsi="Times New Roman" w:cs="Times New Roman"/>
                <w:sz w:val="20"/>
                <w:szCs w:val="20"/>
              </w:rPr>
              <w:t xml:space="preserve">NATO zatwierdzana jest polityka wykorzystania usług chmurowych do poziomu NATO </w:t>
            </w:r>
            <w:proofErr w:type="spellStart"/>
            <w:r w:rsidRPr="00330A16">
              <w:rPr>
                <w:rFonts w:ascii="Times New Roman" w:eastAsia="Calibri" w:hAnsi="Times New Roman" w:cs="Times New Roman"/>
                <w:sz w:val="20"/>
                <w:szCs w:val="20"/>
              </w:rPr>
              <w:t>Restricted</w:t>
            </w:r>
            <w:proofErr w:type="spellEnd"/>
            <w:r w:rsidRPr="00330A16">
              <w:rPr>
                <w:rFonts w:ascii="Times New Roman" w:eastAsia="Calibri" w:hAnsi="Times New Roman" w:cs="Times New Roman"/>
                <w:sz w:val="20"/>
                <w:szCs w:val="20"/>
              </w:rPr>
              <w:t xml:space="preserve"> (AC322-WP(2024)0018-REV1-U), czego następstwem powinna być zdolność państw NATO do kooperacji na tej płaszczyźnie cyberprzestrzeni. </w:t>
            </w:r>
          </w:p>
        </w:tc>
        <w:tc>
          <w:tcPr>
            <w:tcW w:w="0" w:type="auto"/>
            <w:tcBorders>
              <w:top w:val="single" w:sz="4" w:space="0" w:color="auto"/>
              <w:left w:val="single" w:sz="4" w:space="0" w:color="auto"/>
              <w:bottom w:val="single" w:sz="4" w:space="0" w:color="auto"/>
              <w:right w:val="single" w:sz="4" w:space="0" w:color="auto"/>
            </w:tcBorders>
            <w:hideMark/>
          </w:tcPr>
          <w:p w14:paraId="62AD66F9" w14:textId="77777777" w:rsidR="00D32F56" w:rsidRPr="00330A16" w:rsidRDefault="00340C5D" w:rsidP="00294CF7">
            <w:pPr>
              <w:spacing w:line="240" w:lineRule="auto"/>
              <w:jc w:val="both"/>
              <w:rPr>
                <w:rFonts w:ascii="Times New Roman" w:hAnsi="Times New Roman" w:cs="Times New Roman"/>
                <w:sz w:val="20"/>
                <w:szCs w:val="20"/>
              </w:rPr>
            </w:pPr>
            <w:r w:rsidRPr="00330A16">
              <w:rPr>
                <w:rFonts w:ascii="Times New Roman" w:hAnsi="Times New Roman" w:cs="Times New Roman"/>
                <w:b/>
                <w:bCs/>
                <w:sz w:val="20"/>
                <w:szCs w:val="20"/>
              </w:rPr>
              <w:lastRenderedPageBreak/>
              <w:t>Uwaga uwzględniona</w:t>
            </w:r>
          </w:p>
          <w:p w14:paraId="269FEBAB" w14:textId="1CBD261C" w:rsidR="00340C5D" w:rsidRPr="00330A16" w:rsidRDefault="00340C5D" w:rsidP="00294CF7">
            <w:pPr>
              <w:spacing w:line="240" w:lineRule="auto"/>
              <w:jc w:val="both"/>
              <w:rPr>
                <w:rFonts w:ascii="Times New Roman" w:hAnsi="Times New Roman" w:cs="Times New Roman"/>
                <w:sz w:val="20"/>
                <w:szCs w:val="20"/>
              </w:rPr>
            </w:pPr>
            <w:r w:rsidRPr="00330A16">
              <w:rPr>
                <w:rFonts w:ascii="Times New Roman" w:hAnsi="Times New Roman" w:cs="Times New Roman"/>
                <w:sz w:val="20"/>
                <w:szCs w:val="20"/>
              </w:rPr>
              <w:t>Dokonano zmian</w:t>
            </w:r>
            <w:r w:rsidR="00A62500" w:rsidRPr="00330A16">
              <w:rPr>
                <w:rFonts w:ascii="Times New Roman" w:hAnsi="Times New Roman" w:cs="Times New Roman"/>
                <w:sz w:val="20"/>
                <w:szCs w:val="20"/>
              </w:rPr>
              <w:t xml:space="preserve"> – z odpowiednią modyfikacją zaproponowanego brzmienia (wyjaśnienie tej kwestii zamieszczono w uzasadnieniu do projektu).</w:t>
            </w:r>
          </w:p>
        </w:tc>
      </w:tr>
      <w:tr w:rsidR="00A66C3D" w:rsidRPr="00330A16" w14:paraId="15F8EFE5" w14:textId="77777777" w:rsidTr="00D32F56">
        <w:tc>
          <w:tcPr>
            <w:tcW w:w="0" w:type="auto"/>
            <w:tcBorders>
              <w:top w:val="single" w:sz="4" w:space="0" w:color="auto"/>
              <w:left w:val="single" w:sz="4" w:space="0" w:color="auto"/>
              <w:bottom w:val="single" w:sz="4" w:space="0" w:color="auto"/>
              <w:right w:val="single" w:sz="4" w:space="0" w:color="auto"/>
            </w:tcBorders>
            <w:vAlign w:val="center"/>
            <w:hideMark/>
          </w:tcPr>
          <w:p w14:paraId="65F9B501" w14:textId="77777777" w:rsidR="00D32F56" w:rsidRPr="00330A16" w:rsidRDefault="00D32F56">
            <w:pPr>
              <w:spacing w:line="240" w:lineRule="auto"/>
              <w:jc w:val="center"/>
              <w:rPr>
                <w:rFonts w:ascii="Times New Roman" w:hAnsi="Times New Roman" w:cs="Times New Roman"/>
                <w:b/>
                <w:sz w:val="20"/>
                <w:szCs w:val="20"/>
              </w:rPr>
            </w:pPr>
            <w:r w:rsidRPr="00330A16">
              <w:rPr>
                <w:rFonts w:ascii="Times New Roman" w:hAnsi="Times New Roman" w:cs="Times New Roman"/>
                <w:b/>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14:paraId="37A1D7D5" w14:textId="3003A17F" w:rsidR="00D32F56" w:rsidRPr="00330A16" w:rsidRDefault="00340C5D">
            <w:pPr>
              <w:spacing w:line="240" w:lineRule="auto"/>
              <w:rPr>
                <w:rFonts w:ascii="Times New Roman" w:hAnsi="Times New Roman" w:cs="Times New Roman"/>
                <w:b/>
                <w:sz w:val="20"/>
                <w:szCs w:val="20"/>
              </w:rPr>
            </w:pPr>
            <w:r w:rsidRPr="00330A16">
              <w:rPr>
                <w:rFonts w:ascii="Times New Roman" w:hAnsi="Times New Roman" w:cs="Times New Roman"/>
                <w:b/>
                <w:sz w:val="20"/>
                <w:szCs w:val="20"/>
              </w:rPr>
              <w:t>Centrum e-Zdrowie</w:t>
            </w:r>
          </w:p>
        </w:tc>
        <w:tc>
          <w:tcPr>
            <w:tcW w:w="0" w:type="auto"/>
            <w:tcBorders>
              <w:top w:val="single" w:sz="4" w:space="0" w:color="auto"/>
              <w:left w:val="single" w:sz="4" w:space="0" w:color="auto"/>
              <w:bottom w:val="single" w:sz="4" w:space="0" w:color="auto"/>
              <w:right w:val="single" w:sz="4" w:space="0" w:color="auto"/>
            </w:tcBorders>
            <w:hideMark/>
          </w:tcPr>
          <w:p w14:paraId="56E1D281" w14:textId="7E8993CA" w:rsidR="00D32F56" w:rsidRPr="00330A16" w:rsidRDefault="00340C5D">
            <w:pPr>
              <w:spacing w:line="240" w:lineRule="auto"/>
              <w:rPr>
                <w:rFonts w:ascii="Times New Roman" w:hAnsi="Times New Roman" w:cs="Times New Roman"/>
                <w:i/>
                <w:sz w:val="20"/>
                <w:szCs w:val="20"/>
              </w:rPr>
            </w:pPr>
            <w:r w:rsidRPr="00330A16">
              <w:rPr>
                <w:rFonts w:ascii="Times New Roman" w:hAnsi="Times New Roman" w:cs="Times New Roman"/>
                <w:b/>
                <w:i/>
                <w:sz w:val="20"/>
                <w:szCs w:val="20"/>
              </w:rPr>
              <w:t>Uwaga ogólna</w:t>
            </w:r>
          </w:p>
        </w:tc>
        <w:tc>
          <w:tcPr>
            <w:tcW w:w="0" w:type="auto"/>
            <w:tcBorders>
              <w:top w:val="single" w:sz="4" w:space="0" w:color="auto"/>
              <w:left w:val="single" w:sz="4" w:space="0" w:color="auto"/>
              <w:bottom w:val="single" w:sz="4" w:space="0" w:color="auto"/>
              <w:right w:val="single" w:sz="4" w:space="0" w:color="auto"/>
            </w:tcBorders>
            <w:hideMark/>
          </w:tcPr>
          <w:p w14:paraId="6A37116E" w14:textId="003C508A" w:rsidR="00340C5D" w:rsidRPr="00330A16" w:rsidRDefault="00340C5D" w:rsidP="00340C5D">
            <w:pPr>
              <w:spacing w:line="280" w:lineRule="exact"/>
              <w:jc w:val="both"/>
              <w:rPr>
                <w:rFonts w:ascii="Times New Roman" w:hAnsi="Times New Roman" w:cs="Times New Roman"/>
                <w:sz w:val="20"/>
                <w:szCs w:val="20"/>
              </w:rPr>
            </w:pPr>
            <w:r w:rsidRPr="00330A16">
              <w:rPr>
                <w:rFonts w:ascii="Times New Roman" w:hAnsi="Times New Roman" w:cs="Times New Roman"/>
                <w:sz w:val="20"/>
                <w:szCs w:val="20"/>
              </w:rPr>
              <w:t>Centrum e-Zdrowia pragnie wskazać, że proponowany kierunek zmian wpisuje się w identyfikowane przez Centrum e-Zdrowia potrzeby w zakresie korzystania z</w:t>
            </w:r>
            <w:r w:rsidR="00330A16">
              <w:rPr>
                <w:rFonts w:ascii="Times New Roman" w:hAnsi="Times New Roman" w:cs="Times New Roman"/>
                <w:sz w:val="20"/>
                <w:szCs w:val="20"/>
              </w:rPr>
              <w:t> </w:t>
            </w:r>
            <w:r w:rsidRPr="00330A16">
              <w:rPr>
                <w:rFonts w:ascii="Times New Roman" w:hAnsi="Times New Roman" w:cs="Times New Roman"/>
                <w:sz w:val="20"/>
                <w:szCs w:val="20"/>
              </w:rPr>
              <w:t>zasobów publicznej chmury obliczeniowej w ramach realizacji projektów e-zdrowia. W ocenie Centrum e-Zdrowia, na obecnym etapie rozwoju systemów teleinformatycznych w obszarze e-zdrowia, w tym wchodzących w skład systemu informacji w ochronie zdrowia, należy bardzo poważnie rozważyć korzystanie z</w:t>
            </w:r>
            <w:r w:rsidR="00330A16">
              <w:rPr>
                <w:rFonts w:ascii="Times New Roman" w:hAnsi="Times New Roman" w:cs="Times New Roman"/>
                <w:sz w:val="20"/>
                <w:szCs w:val="20"/>
              </w:rPr>
              <w:t> </w:t>
            </w:r>
            <w:r w:rsidRPr="00330A16">
              <w:rPr>
                <w:rFonts w:ascii="Times New Roman" w:hAnsi="Times New Roman" w:cs="Times New Roman"/>
                <w:sz w:val="20"/>
                <w:szCs w:val="20"/>
              </w:rPr>
              <w:t>publicznej chmury obliczeniowej, tak aby możliwe było wykorzystanie pełnych jej funkcjonalności, przy jednoczesnym oczywiście zapewnieniu odpowiedniego poziomu bezpieczeństwa wszystkich publicznych usług w</w:t>
            </w:r>
            <w:r w:rsidR="00330A16">
              <w:rPr>
                <w:rFonts w:ascii="Times New Roman" w:hAnsi="Times New Roman" w:cs="Times New Roman"/>
                <w:sz w:val="20"/>
                <w:szCs w:val="20"/>
              </w:rPr>
              <w:t> </w:t>
            </w:r>
            <w:r w:rsidRPr="00330A16">
              <w:rPr>
                <w:rFonts w:ascii="Times New Roman" w:hAnsi="Times New Roman" w:cs="Times New Roman"/>
                <w:sz w:val="20"/>
                <w:szCs w:val="20"/>
              </w:rPr>
              <w:t>obszarze e-zdrowia. W</w:t>
            </w:r>
            <w:r w:rsidR="00294CF7" w:rsidRPr="00330A16">
              <w:rPr>
                <w:rFonts w:ascii="Times New Roman" w:hAnsi="Times New Roman" w:cs="Times New Roman"/>
                <w:sz w:val="20"/>
                <w:szCs w:val="20"/>
              </w:rPr>
              <w:t> </w:t>
            </w:r>
            <w:r w:rsidRPr="00330A16">
              <w:rPr>
                <w:rFonts w:ascii="Times New Roman" w:hAnsi="Times New Roman" w:cs="Times New Roman"/>
                <w:sz w:val="20"/>
                <w:szCs w:val="20"/>
              </w:rPr>
              <w:t>przeciwnym razie może dojść do sytuacji, w której skalowalność systemów informatycznych, ze względu na zwiększony ruch użytkowników, zostanie zagrożona lub wręcz całkowicie uniemożliwione zostanie ich poprawne działanie. Należy dodatkowo podkreślić, że chmura publiczna dostarcza gotowe rozwiązania technologiczne umożliwiające analizę dużych zbiorów danych z wykorzystaniem algorytmów uczenia maszynowego, co jest bardzo istotne z punktu widzenia projektów w obszarze e-zdrowia, które wiążą się z przetwarzaniem dużych ilości danych.</w:t>
            </w:r>
          </w:p>
          <w:p w14:paraId="708445A3" w14:textId="77777777" w:rsidR="00D32F56" w:rsidRPr="00330A16" w:rsidRDefault="00D32F56">
            <w:pPr>
              <w:spacing w:line="240" w:lineRule="auto"/>
              <w:rPr>
                <w:rFonts w:ascii="Times New Roman" w:hAnsi="Times New Roman" w:cs="Times New Roman"/>
                <w:sz w:val="20"/>
                <w:szCs w:val="20"/>
              </w:rPr>
            </w:pPr>
          </w:p>
          <w:p w14:paraId="3D2FE6DD" w14:textId="77777777" w:rsidR="00A66C3D" w:rsidRPr="00330A16" w:rsidRDefault="00A66C3D" w:rsidP="00A66C3D">
            <w:pPr>
              <w:spacing w:line="280" w:lineRule="exact"/>
              <w:jc w:val="both"/>
              <w:rPr>
                <w:rFonts w:ascii="Times New Roman" w:hAnsi="Times New Roman" w:cs="Times New Roman"/>
                <w:sz w:val="20"/>
                <w:szCs w:val="20"/>
              </w:rPr>
            </w:pPr>
            <w:r w:rsidRPr="00330A16">
              <w:rPr>
                <w:rFonts w:ascii="Times New Roman" w:hAnsi="Times New Roman" w:cs="Times New Roman"/>
                <w:sz w:val="20"/>
                <w:szCs w:val="20"/>
              </w:rPr>
              <w:lastRenderedPageBreak/>
              <w:t>Postępująca informatyzacja służby zdrowia pociąga za sobą zwiększające się potrzeby zasobów informatycznych. W obecnych warunkach rynkowych coraz więcej innowacyjnych rozwiązań technologicznych e-zdrowia jest dostępnych jedynie jako usługi chmurowe. Taka bariera technologiczna już występuje w obszarach badań genetycznych, przetwarzania dużej ilości danych (Big Data), sztucznej inteligencji (AI), platformach analitycznych, platformach „</w:t>
            </w:r>
            <w:proofErr w:type="spellStart"/>
            <w:r w:rsidRPr="00330A16">
              <w:rPr>
                <w:rFonts w:ascii="Times New Roman" w:hAnsi="Times New Roman" w:cs="Times New Roman"/>
                <w:sz w:val="20"/>
                <w:szCs w:val="20"/>
              </w:rPr>
              <w:t>low-code</w:t>
            </w:r>
            <w:proofErr w:type="spellEnd"/>
            <w:r w:rsidRPr="00330A16">
              <w:rPr>
                <w:rFonts w:ascii="Times New Roman" w:hAnsi="Times New Roman" w:cs="Times New Roman"/>
                <w:sz w:val="20"/>
                <w:szCs w:val="20"/>
              </w:rPr>
              <w:t xml:space="preserve">”, pozwalających na szybkie dostarczanie rozwiązań biznesowych dla ograniczonej grupy użytkowników, narzędzi </w:t>
            </w:r>
            <w:proofErr w:type="spellStart"/>
            <w:r w:rsidRPr="00330A16">
              <w:rPr>
                <w:rFonts w:ascii="Times New Roman" w:hAnsi="Times New Roman" w:cs="Times New Roman"/>
                <w:sz w:val="20"/>
                <w:szCs w:val="20"/>
              </w:rPr>
              <w:t>cyberbezpieczeństwa</w:t>
            </w:r>
            <w:proofErr w:type="spellEnd"/>
            <w:r w:rsidRPr="00330A16">
              <w:rPr>
                <w:rFonts w:ascii="Times New Roman" w:hAnsi="Times New Roman" w:cs="Times New Roman"/>
                <w:sz w:val="20"/>
                <w:szCs w:val="20"/>
              </w:rPr>
              <w:t>, czy specjalistyczny rozwiązań e-</w:t>
            </w:r>
            <w:proofErr w:type="spellStart"/>
            <w:r w:rsidRPr="00330A16">
              <w:rPr>
                <w:rFonts w:ascii="Times New Roman" w:hAnsi="Times New Roman" w:cs="Times New Roman"/>
                <w:sz w:val="20"/>
                <w:szCs w:val="20"/>
              </w:rPr>
              <w:t>Health</w:t>
            </w:r>
            <w:proofErr w:type="spellEnd"/>
            <w:r w:rsidRPr="00330A16">
              <w:rPr>
                <w:rFonts w:ascii="Times New Roman" w:hAnsi="Times New Roman" w:cs="Times New Roman"/>
                <w:sz w:val="20"/>
                <w:szCs w:val="20"/>
              </w:rPr>
              <w:t>.</w:t>
            </w:r>
          </w:p>
          <w:p w14:paraId="30558DAF" w14:textId="0D014857" w:rsidR="00A66C3D" w:rsidRPr="00330A16" w:rsidRDefault="00A66C3D" w:rsidP="00294CF7">
            <w:pPr>
              <w:spacing w:line="280" w:lineRule="exact"/>
              <w:jc w:val="both"/>
              <w:rPr>
                <w:rFonts w:ascii="Times New Roman" w:hAnsi="Times New Roman" w:cs="Times New Roman"/>
                <w:sz w:val="20"/>
                <w:szCs w:val="20"/>
              </w:rPr>
            </w:pPr>
            <w:r w:rsidRPr="00330A16">
              <w:rPr>
                <w:rFonts w:ascii="Times New Roman" w:hAnsi="Times New Roman" w:cs="Times New Roman"/>
                <w:sz w:val="20"/>
                <w:szCs w:val="20"/>
              </w:rPr>
              <w:t>Mając powyższe na względzie, Centrum e-Zdrowia przeprowadziło analizę regulacji prawnych dotyczących korzystania z publicznej chmury obliczeniowej, która uwidoczniła istniejące ograniczenia regulacyjne o</w:t>
            </w:r>
            <w:r w:rsidR="00330A16">
              <w:rPr>
                <w:rFonts w:ascii="Times New Roman" w:hAnsi="Times New Roman" w:cs="Times New Roman"/>
                <w:sz w:val="20"/>
                <w:szCs w:val="20"/>
              </w:rPr>
              <w:t> </w:t>
            </w:r>
            <w:r w:rsidRPr="00330A16">
              <w:rPr>
                <w:rFonts w:ascii="Times New Roman" w:hAnsi="Times New Roman" w:cs="Times New Roman"/>
                <w:sz w:val="20"/>
                <w:szCs w:val="20"/>
              </w:rPr>
              <w:t xml:space="preserve">charakterze wewnątrzadministracyjnym, uniemożliwiające skorzystanie z jej zasobów, wprowadzając istotne ograniczenia co do możliwości przetwarzania danych. Co istotne przy tym przepisy prawa powszechnie obowiązującego, zdaniem Centrum e-Zdrowia, nie stoją na przeszkodzie wykorzystywania publicznych chmur obliczeniowych w jurysdykcji EOG oraz usług jakie dostarczają w modelu </w:t>
            </w:r>
            <w:proofErr w:type="spellStart"/>
            <w:r w:rsidRPr="00330A16">
              <w:rPr>
                <w:rFonts w:ascii="Times New Roman" w:hAnsi="Times New Roman" w:cs="Times New Roman"/>
                <w:sz w:val="20"/>
                <w:szCs w:val="20"/>
              </w:rPr>
              <w:t>XaaS</w:t>
            </w:r>
            <w:proofErr w:type="spellEnd"/>
            <w:r w:rsidRPr="00330A16">
              <w:rPr>
                <w:rFonts w:ascii="Times New Roman" w:hAnsi="Times New Roman" w:cs="Times New Roman"/>
                <w:sz w:val="20"/>
                <w:szCs w:val="20"/>
              </w:rPr>
              <w:t xml:space="preserve"> (wszystko jako usługa) przez systemy rozwijane w </w:t>
            </w:r>
            <w:proofErr w:type="spellStart"/>
            <w:r w:rsidRPr="00330A16">
              <w:rPr>
                <w:rFonts w:ascii="Times New Roman" w:hAnsi="Times New Roman" w:cs="Times New Roman"/>
                <w:sz w:val="20"/>
                <w:szCs w:val="20"/>
              </w:rPr>
              <w:t>CeZ</w:t>
            </w:r>
            <w:proofErr w:type="spellEnd"/>
            <w:r w:rsidRPr="00330A16">
              <w:rPr>
                <w:rFonts w:ascii="Times New Roman" w:hAnsi="Times New Roman" w:cs="Times New Roman"/>
                <w:sz w:val="20"/>
                <w:szCs w:val="20"/>
              </w:rPr>
              <w:t xml:space="preserve">. Aktualne ograniczenia w zakresie korzystania z publicznych chmur obliczeniowych wynikają jednak szczególnie ze Standardów </w:t>
            </w:r>
            <w:proofErr w:type="spellStart"/>
            <w:r w:rsidRPr="00330A16">
              <w:rPr>
                <w:rFonts w:ascii="Times New Roman" w:hAnsi="Times New Roman" w:cs="Times New Roman"/>
                <w:sz w:val="20"/>
                <w:szCs w:val="20"/>
              </w:rPr>
              <w:t>Cyberbezpieczeństwa</w:t>
            </w:r>
            <w:proofErr w:type="spellEnd"/>
            <w:r w:rsidRPr="00330A16">
              <w:rPr>
                <w:rFonts w:ascii="Times New Roman" w:hAnsi="Times New Roman" w:cs="Times New Roman"/>
                <w:sz w:val="20"/>
                <w:szCs w:val="20"/>
              </w:rPr>
              <w:t xml:space="preserve"> Chmur Obliczeniowych </w:t>
            </w:r>
            <w:proofErr w:type="spellStart"/>
            <w:r w:rsidRPr="00330A16">
              <w:rPr>
                <w:rFonts w:ascii="Times New Roman" w:hAnsi="Times New Roman" w:cs="Times New Roman"/>
                <w:sz w:val="20"/>
                <w:szCs w:val="20"/>
              </w:rPr>
              <w:t>wer</w:t>
            </w:r>
            <w:proofErr w:type="spellEnd"/>
            <w:r w:rsidRPr="00330A16">
              <w:rPr>
                <w:rFonts w:ascii="Times New Roman" w:hAnsi="Times New Roman" w:cs="Times New Roman"/>
                <w:sz w:val="20"/>
                <w:szCs w:val="20"/>
              </w:rPr>
              <w:t>. 1.0.; dalej jako „SCCO”). Przewidują one, że w stosunku do danych w sektorze e-zdrowia (dane osobowe, tajemnica zawodowa, podlegające ochronie ustawowej, będące w myśl SCCO kontrolowanymi informacjami urzędowymi) ich przetwarzanie może następować wyłącznie w centrach danych w jurysdykcji polskiej. Zwracamy jednak uwagę, że specyfika publicznej chmury obliczeniowej powoduje, że zastrzeżenie ograniczenia przetwarzania jedynie do Polski, może okazać się niewykonalne w realizacji. Część operatorów bowiem może nie dysponować polskimi (a</w:t>
            </w:r>
            <w:r w:rsidR="00330A16">
              <w:rPr>
                <w:rFonts w:ascii="Times New Roman" w:hAnsi="Times New Roman" w:cs="Times New Roman"/>
                <w:sz w:val="20"/>
                <w:szCs w:val="20"/>
              </w:rPr>
              <w:t> </w:t>
            </w:r>
            <w:r w:rsidRPr="00330A16">
              <w:rPr>
                <w:rFonts w:ascii="Times New Roman" w:hAnsi="Times New Roman" w:cs="Times New Roman"/>
                <w:sz w:val="20"/>
                <w:szCs w:val="20"/>
              </w:rPr>
              <w:t>unijnymi) centrami danych (co jest zgodne z</w:t>
            </w:r>
            <w:r w:rsidR="00294CF7" w:rsidRPr="00330A16">
              <w:rPr>
                <w:rFonts w:ascii="Times New Roman" w:hAnsi="Times New Roman" w:cs="Times New Roman"/>
                <w:sz w:val="20"/>
                <w:szCs w:val="20"/>
              </w:rPr>
              <w:t> </w:t>
            </w:r>
            <w:r w:rsidRPr="00330A16">
              <w:rPr>
                <w:rFonts w:ascii="Times New Roman" w:hAnsi="Times New Roman" w:cs="Times New Roman"/>
                <w:sz w:val="20"/>
                <w:szCs w:val="20"/>
              </w:rPr>
              <w:t xml:space="preserve">powszechnie obowiązującymi przepisami prawa). Sytuacje wyjścia do innej jurysdykcji mogą pojawić się także, np. w przypadku serwisu technicznego, korzystania (nawet czasowego) z awaryjnej infrastruktury umiejscowionej w innym kraju UE/EOG, czy współdzielenia pewnych zasobów. W ocenie Centrum e-Zdrowia możliwość realizacji działań w zakresie wykorzystania publicznej chmury obliczeniowej </w:t>
            </w:r>
            <w:r w:rsidRPr="00330A16">
              <w:rPr>
                <w:rFonts w:ascii="Times New Roman" w:hAnsi="Times New Roman" w:cs="Times New Roman"/>
                <w:sz w:val="20"/>
                <w:szCs w:val="20"/>
              </w:rPr>
              <w:lastRenderedPageBreak/>
              <w:t>w</w:t>
            </w:r>
            <w:r w:rsidR="00330A16">
              <w:rPr>
                <w:rFonts w:ascii="Times New Roman" w:hAnsi="Times New Roman" w:cs="Times New Roman"/>
                <w:sz w:val="20"/>
                <w:szCs w:val="20"/>
              </w:rPr>
              <w:t> </w:t>
            </w:r>
            <w:r w:rsidRPr="00330A16">
              <w:rPr>
                <w:rFonts w:ascii="Times New Roman" w:hAnsi="Times New Roman" w:cs="Times New Roman"/>
                <w:sz w:val="20"/>
                <w:szCs w:val="20"/>
              </w:rPr>
              <w:t>projektach e-zdrowia powinna być zatem niezależna od przetwarzania danych osobowych wyłącznie w Centrum Przetwarzania Danych na obszarze Polski, a</w:t>
            </w:r>
            <w:r w:rsidR="00330A16">
              <w:rPr>
                <w:rFonts w:ascii="Times New Roman" w:hAnsi="Times New Roman" w:cs="Times New Roman"/>
                <w:sz w:val="20"/>
                <w:szCs w:val="20"/>
              </w:rPr>
              <w:t> </w:t>
            </w:r>
            <w:r w:rsidRPr="00330A16">
              <w:rPr>
                <w:rFonts w:ascii="Times New Roman" w:hAnsi="Times New Roman" w:cs="Times New Roman"/>
                <w:sz w:val="20"/>
                <w:szCs w:val="20"/>
              </w:rPr>
              <w:t>z</w:t>
            </w:r>
            <w:r w:rsidR="00330A16">
              <w:rPr>
                <w:rFonts w:ascii="Times New Roman" w:hAnsi="Times New Roman" w:cs="Times New Roman"/>
                <w:sz w:val="20"/>
                <w:szCs w:val="20"/>
              </w:rPr>
              <w:t> </w:t>
            </w:r>
            <w:r w:rsidRPr="00330A16">
              <w:rPr>
                <w:rFonts w:ascii="Times New Roman" w:hAnsi="Times New Roman" w:cs="Times New Roman"/>
                <w:sz w:val="20"/>
                <w:szCs w:val="20"/>
              </w:rPr>
              <w:t xml:space="preserve">dopuszczeniem jurysdykcji unijnej /EOG. Przyjęcie bowiem a priori określonych </w:t>
            </w:r>
            <w:proofErr w:type="spellStart"/>
            <w:r w:rsidRPr="00330A16">
              <w:rPr>
                <w:rFonts w:ascii="Times New Roman" w:hAnsi="Times New Roman" w:cs="Times New Roman"/>
                <w:sz w:val="20"/>
                <w:szCs w:val="20"/>
              </w:rPr>
              <w:t>wyłączeń</w:t>
            </w:r>
            <w:proofErr w:type="spellEnd"/>
            <w:r w:rsidRPr="00330A16">
              <w:rPr>
                <w:rFonts w:ascii="Times New Roman" w:hAnsi="Times New Roman" w:cs="Times New Roman"/>
                <w:sz w:val="20"/>
                <w:szCs w:val="20"/>
              </w:rPr>
              <w:t xml:space="preserve"> i wymagań nie odzwierciedla rzeczywistych potrzeb oraz specyfiki różnych procesów przetwarzania danych. Nie znajduje ponadto poparcia w praktycznych doświadczeniach ostatnich lat, wynikających m.in.</w:t>
            </w:r>
            <w:r w:rsidR="00330A16">
              <w:rPr>
                <w:rFonts w:ascii="Times New Roman" w:hAnsi="Times New Roman" w:cs="Times New Roman"/>
                <w:sz w:val="20"/>
                <w:szCs w:val="20"/>
              </w:rPr>
              <w:t xml:space="preserve"> </w:t>
            </w:r>
            <w:r w:rsidRPr="00330A16">
              <w:rPr>
                <w:rFonts w:ascii="Times New Roman" w:hAnsi="Times New Roman" w:cs="Times New Roman"/>
                <w:sz w:val="20"/>
                <w:szCs w:val="20"/>
              </w:rPr>
              <w:t>z</w:t>
            </w:r>
            <w:r w:rsidR="00330A16">
              <w:rPr>
                <w:rFonts w:ascii="Times New Roman" w:hAnsi="Times New Roman" w:cs="Times New Roman"/>
                <w:sz w:val="20"/>
                <w:szCs w:val="20"/>
              </w:rPr>
              <w:t xml:space="preserve"> </w:t>
            </w:r>
            <w:r w:rsidRPr="00330A16">
              <w:rPr>
                <w:rFonts w:ascii="Times New Roman" w:hAnsi="Times New Roman" w:cs="Times New Roman"/>
                <w:sz w:val="20"/>
                <w:szCs w:val="20"/>
              </w:rPr>
              <w:t>rozwiązań przyjmowanych w okresie pandemii COVID19. W</w:t>
            </w:r>
            <w:r w:rsidR="00330A16">
              <w:rPr>
                <w:rFonts w:ascii="Times New Roman" w:hAnsi="Times New Roman" w:cs="Times New Roman"/>
                <w:sz w:val="20"/>
                <w:szCs w:val="20"/>
              </w:rPr>
              <w:t> </w:t>
            </w:r>
            <w:r w:rsidRPr="00330A16">
              <w:rPr>
                <w:rFonts w:ascii="Times New Roman" w:hAnsi="Times New Roman" w:cs="Times New Roman"/>
                <w:sz w:val="20"/>
                <w:szCs w:val="20"/>
              </w:rPr>
              <w:t>związku z powyższym, kluczowym aspektem zmian, poza procedowaną nowelizacją Uchwały WIIP, jest także weryfikacja i aktualizacja dokumentu SCCO w</w:t>
            </w:r>
            <w:r w:rsidR="00330A16">
              <w:rPr>
                <w:rFonts w:ascii="Times New Roman" w:hAnsi="Times New Roman" w:cs="Times New Roman"/>
                <w:sz w:val="20"/>
                <w:szCs w:val="20"/>
              </w:rPr>
              <w:t> </w:t>
            </w:r>
            <w:r w:rsidRPr="00330A16">
              <w:rPr>
                <w:rFonts w:ascii="Times New Roman" w:hAnsi="Times New Roman" w:cs="Times New Roman"/>
                <w:sz w:val="20"/>
                <w:szCs w:val="20"/>
              </w:rPr>
              <w:t>powyższym zakresie. Aktualizacja ta powinna w ocenie Centrum e-Zdrowia zmierzać w stronę elastycznego podejścia bazującego na analizie ryzyka dokonanej przez podmiot odpowiedzialny za system teleinformatyczny (tzw. właściciela biznesowego danego systemu). Pozwoli to na indywidualną ocenę projektów z uwzględnieniem indywidualnych okoliczności faktycznych. Mając na względzie przygotowywaną nowelizację, zapewni to jednocześnie spójność z Uchwałą WIIP w docelowym zakresie.</w:t>
            </w:r>
          </w:p>
        </w:tc>
        <w:tc>
          <w:tcPr>
            <w:tcW w:w="0" w:type="auto"/>
            <w:tcBorders>
              <w:top w:val="single" w:sz="4" w:space="0" w:color="auto"/>
              <w:left w:val="single" w:sz="4" w:space="0" w:color="auto"/>
              <w:bottom w:val="single" w:sz="4" w:space="0" w:color="auto"/>
              <w:right w:val="single" w:sz="4" w:space="0" w:color="auto"/>
            </w:tcBorders>
            <w:hideMark/>
          </w:tcPr>
          <w:p w14:paraId="5D293EDA" w14:textId="0540EC5A" w:rsidR="00D32F56" w:rsidRDefault="00D32F56" w:rsidP="00294CF7">
            <w:pPr>
              <w:spacing w:line="240" w:lineRule="auto"/>
              <w:jc w:val="both"/>
              <w:rPr>
                <w:rFonts w:ascii="Times New Roman" w:hAnsi="Times New Roman" w:cs="Times New Roman"/>
                <w:b/>
                <w:sz w:val="20"/>
                <w:szCs w:val="20"/>
              </w:rPr>
            </w:pPr>
            <w:r w:rsidRPr="00330A16">
              <w:rPr>
                <w:rFonts w:ascii="Times New Roman" w:hAnsi="Times New Roman" w:cs="Times New Roman"/>
                <w:b/>
                <w:sz w:val="20"/>
                <w:szCs w:val="20"/>
              </w:rPr>
              <w:lastRenderedPageBreak/>
              <w:t>Uwaga wyjaśniona</w:t>
            </w:r>
          </w:p>
          <w:p w14:paraId="7B420AC1" w14:textId="77777777" w:rsidR="00330A16" w:rsidRPr="00330A16" w:rsidRDefault="00330A16" w:rsidP="00294CF7">
            <w:pPr>
              <w:spacing w:line="240" w:lineRule="auto"/>
              <w:jc w:val="both"/>
              <w:rPr>
                <w:rFonts w:ascii="Times New Roman" w:hAnsi="Times New Roman" w:cs="Times New Roman"/>
                <w:b/>
                <w:sz w:val="20"/>
                <w:szCs w:val="20"/>
              </w:rPr>
            </w:pPr>
          </w:p>
          <w:p w14:paraId="125D0797" w14:textId="7A2864F3" w:rsidR="00D32F56" w:rsidRPr="00330A16" w:rsidRDefault="00340C5D" w:rsidP="00294CF7">
            <w:pPr>
              <w:spacing w:line="240" w:lineRule="auto"/>
              <w:jc w:val="both"/>
              <w:rPr>
                <w:rFonts w:ascii="Times New Roman" w:hAnsi="Times New Roman" w:cs="Times New Roman"/>
                <w:sz w:val="20"/>
                <w:szCs w:val="20"/>
              </w:rPr>
            </w:pPr>
            <w:r w:rsidRPr="00330A16">
              <w:rPr>
                <w:rFonts w:ascii="Times New Roman" w:hAnsi="Times New Roman" w:cs="Times New Roman"/>
                <w:sz w:val="20"/>
                <w:szCs w:val="20"/>
              </w:rPr>
              <w:t xml:space="preserve">Projektodawca podziela stanowisko wyrażone przez </w:t>
            </w:r>
            <w:proofErr w:type="spellStart"/>
            <w:r w:rsidRPr="00330A16">
              <w:rPr>
                <w:rFonts w:ascii="Times New Roman" w:hAnsi="Times New Roman" w:cs="Times New Roman"/>
                <w:sz w:val="20"/>
                <w:szCs w:val="20"/>
              </w:rPr>
              <w:t>CeZ</w:t>
            </w:r>
            <w:proofErr w:type="spellEnd"/>
            <w:r w:rsidRPr="00330A16">
              <w:rPr>
                <w:rFonts w:ascii="Times New Roman" w:hAnsi="Times New Roman" w:cs="Times New Roman"/>
                <w:sz w:val="20"/>
                <w:szCs w:val="20"/>
              </w:rPr>
              <w:t xml:space="preserve">. Standardy </w:t>
            </w:r>
            <w:proofErr w:type="spellStart"/>
            <w:r w:rsidRPr="00330A16">
              <w:rPr>
                <w:rFonts w:ascii="Times New Roman" w:hAnsi="Times New Roman" w:cs="Times New Roman"/>
                <w:sz w:val="20"/>
                <w:szCs w:val="20"/>
              </w:rPr>
              <w:t>Cyberbezpieczeństwa</w:t>
            </w:r>
            <w:proofErr w:type="spellEnd"/>
            <w:r w:rsidRPr="00330A16">
              <w:rPr>
                <w:rFonts w:ascii="Times New Roman" w:hAnsi="Times New Roman" w:cs="Times New Roman"/>
                <w:sz w:val="20"/>
                <w:szCs w:val="20"/>
              </w:rPr>
              <w:t xml:space="preserve"> Chmur Obliczeniowych będą musiały zostać zaktualizowane jednak dopiero wtedy gdy wejdzie w życie nowelizacja uchwały WIIP. Projektodawca zwraca uwagę, że szeroko opisał w</w:t>
            </w:r>
            <w:r w:rsidR="00294CF7" w:rsidRPr="00330A16">
              <w:rPr>
                <w:rFonts w:ascii="Times New Roman" w:hAnsi="Times New Roman" w:cs="Times New Roman"/>
                <w:sz w:val="20"/>
                <w:szCs w:val="20"/>
              </w:rPr>
              <w:t> </w:t>
            </w:r>
            <w:r w:rsidRPr="00330A16">
              <w:rPr>
                <w:rFonts w:ascii="Times New Roman" w:hAnsi="Times New Roman" w:cs="Times New Roman"/>
                <w:sz w:val="20"/>
                <w:szCs w:val="20"/>
              </w:rPr>
              <w:t>uzasadnieniu do projektu potrzebę aktualizacji SCCO i</w:t>
            </w:r>
            <w:r w:rsidR="00294CF7" w:rsidRPr="00330A16">
              <w:rPr>
                <w:rFonts w:ascii="Times New Roman" w:hAnsi="Times New Roman" w:cs="Times New Roman"/>
                <w:sz w:val="20"/>
                <w:szCs w:val="20"/>
              </w:rPr>
              <w:t> </w:t>
            </w:r>
            <w:r w:rsidRPr="00330A16">
              <w:rPr>
                <w:rFonts w:ascii="Times New Roman" w:hAnsi="Times New Roman" w:cs="Times New Roman"/>
                <w:sz w:val="20"/>
                <w:szCs w:val="20"/>
              </w:rPr>
              <w:t xml:space="preserve">zobowiązał się do jej dokonania po </w:t>
            </w:r>
            <w:r w:rsidRPr="00330A16">
              <w:rPr>
                <w:rFonts w:ascii="Times New Roman" w:hAnsi="Times New Roman" w:cs="Times New Roman"/>
                <w:sz w:val="20"/>
                <w:szCs w:val="20"/>
              </w:rPr>
              <w:lastRenderedPageBreak/>
              <w:t>przyjęciu projektu</w:t>
            </w:r>
            <w:r w:rsidR="00330A16">
              <w:rPr>
                <w:rFonts w:ascii="Times New Roman" w:hAnsi="Times New Roman" w:cs="Times New Roman"/>
                <w:sz w:val="20"/>
                <w:szCs w:val="20"/>
              </w:rPr>
              <w:t xml:space="preserve"> </w:t>
            </w:r>
            <w:proofErr w:type="spellStart"/>
            <w:r w:rsidR="00330A16">
              <w:rPr>
                <w:rFonts w:ascii="Times New Roman" w:hAnsi="Times New Roman" w:cs="Times New Roman"/>
                <w:sz w:val="20"/>
                <w:szCs w:val="20"/>
              </w:rPr>
              <w:t>ucwały</w:t>
            </w:r>
            <w:proofErr w:type="spellEnd"/>
            <w:r w:rsidRPr="00330A16">
              <w:rPr>
                <w:rFonts w:ascii="Times New Roman" w:hAnsi="Times New Roman" w:cs="Times New Roman"/>
                <w:sz w:val="20"/>
                <w:szCs w:val="20"/>
              </w:rPr>
              <w:t>. W</w:t>
            </w:r>
            <w:r w:rsidR="00294CF7" w:rsidRPr="00330A16">
              <w:rPr>
                <w:rFonts w:ascii="Times New Roman" w:hAnsi="Times New Roman" w:cs="Times New Roman"/>
                <w:sz w:val="20"/>
                <w:szCs w:val="20"/>
              </w:rPr>
              <w:t> </w:t>
            </w:r>
            <w:r w:rsidRPr="00330A16">
              <w:rPr>
                <w:rFonts w:ascii="Times New Roman" w:hAnsi="Times New Roman" w:cs="Times New Roman"/>
                <w:sz w:val="20"/>
                <w:szCs w:val="20"/>
              </w:rPr>
              <w:t>innej sytuacji nawet po wejściu w</w:t>
            </w:r>
            <w:r w:rsidR="00294CF7" w:rsidRPr="00330A16">
              <w:rPr>
                <w:rFonts w:ascii="Times New Roman" w:hAnsi="Times New Roman" w:cs="Times New Roman"/>
                <w:sz w:val="20"/>
                <w:szCs w:val="20"/>
              </w:rPr>
              <w:t> </w:t>
            </w:r>
            <w:r w:rsidRPr="00330A16">
              <w:rPr>
                <w:rFonts w:ascii="Times New Roman" w:hAnsi="Times New Roman" w:cs="Times New Roman"/>
                <w:sz w:val="20"/>
                <w:szCs w:val="20"/>
              </w:rPr>
              <w:t xml:space="preserve">życie nowelizacji uchwały WIIP przeniesienie systemów teleinformatycznych do </w:t>
            </w:r>
            <w:proofErr w:type="spellStart"/>
            <w:r w:rsidRPr="00330A16">
              <w:rPr>
                <w:rFonts w:ascii="Times New Roman" w:hAnsi="Times New Roman" w:cs="Times New Roman"/>
                <w:sz w:val="20"/>
                <w:szCs w:val="20"/>
              </w:rPr>
              <w:t>PChO</w:t>
            </w:r>
            <w:proofErr w:type="spellEnd"/>
            <w:r w:rsidRPr="00330A16">
              <w:rPr>
                <w:rFonts w:ascii="Times New Roman" w:hAnsi="Times New Roman" w:cs="Times New Roman"/>
                <w:sz w:val="20"/>
                <w:szCs w:val="20"/>
              </w:rPr>
              <w:t xml:space="preserve"> byłoby niemożliwe albo znacznie utrudnione.</w:t>
            </w:r>
          </w:p>
        </w:tc>
      </w:tr>
      <w:tr w:rsidR="00A66C3D" w:rsidRPr="00330A16" w14:paraId="0850E242" w14:textId="77777777" w:rsidTr="00D32F56">
        <w:tc>
          <w:tcPr>
            <w:tcW w:w="0" w:type="auto"/>
            <w:tcBorders>
              <w:top w:val="single" w:sz="4" w:space="0" w:color="auto"/>
              <w:left w:val="single" w:sz="4" w:space="0" w:color="auto"/>
              <w:bottom w:val="single" w:sz="4" w:space="0" w:color="auto"/>
              <w:right w:val="single" w:sz="4" w:space="0" w:color="auto"/>
            </w:tcBorders>
            <w:vAlign w:val="center"/>
            <w:hideMark/>
          </w:tcPr>
          <w:p w14:paraId="0A17D4F9" w14:textId="77777777" w:rsidR="00D32F56" w:rsidRPr="00330A16" w:rsidRDefault="00D32F56">
            <w:pPr>
              <w:spacing w:line="240" w:lineRule="auto"/>
              <w:jc w:val="center"/>
              <w:rPr>
                <w:rFonts w:ascii="Times New Roman" w:hAnsi="Times New Roman" w:cs="Times New Roman"/>
                <w:b/>
                <w:sz w:val="20"/>
                <w:szCs w:val="20"/>
              </w:rPr>
            </w:pPr>
            <w:r w:rsidRPr="00330A16">
              <w:rPr>
                <w:rFonts w:ascii="Times New Roman" w:hAnsi="Times New Roman" w:cs="Times New Roman"/>
                <w:b/>
                <w:sz w:val="20"/>
                <w:szCs w:val="20"/>
              </w:rPr>
              <w:lastRenderedPageBreak/>
              <w:t>3.</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hideMark/>
          </w:tcPr>
          <w:p w14:paraId="4F521173" w14:textId="0AB52F30" w:rsidR="00D32F56" w:rsidRPr="00330A16" w:rsidRDefault="00A66C3D">
            <w:pPr>
              <w:spacing w:line="240" w:lineRule="auto"/>
              <w:rPr>
                <w:rFonts w:ascii="Times New Roman" w:hAnsi="Times New Roman" w:cs="Times New Roman"/>
                <w:b/>
                <w:sz w:val="20"/>
                <w:szCs w:val="20"/>
              </w:rPr>
            </w:pPr>
            <w:r w:rsidRPr="00330A16">
              <w:rPr>
                <w:rFonts w:ascii="Times New Roman" w:hAnsi="Times New Roman" w:cs="Times New Roman"/>
                <w:b/>
                <w:sz w:val="20"/>
                <w:szCs w:val="20"/>
              </w:rPr>
              <w:t>Urząd Ochrony Danych Osobowych</w:t>
            </w:r>
          </w:p>
        </w:tc>
        <w:tc>
          <w:tcPr>
            <w:tcW w:w="0" w:type="auto"/>
            <w:tcBorders>
              <w:top w:val="single" w:sz="4" w:space="0" w:color="auto"/>
              <w:left w:val="single" w:sz="4" w:space="0" w:color="auto"/>
              <w:bottom w:val="single" w:sz="4" w:space="0" w:color="auto"/>
              <w:right w:val="single" w:sz="4" w:space="0" w:color="auto"/>
            </w:tcBorders>
            <w:hideMark/>
          </w:tcPr>
          <w:p w14:paraId="1A743D13" w14:textId="73B19096" w:rsidR="00D32F56" w:rsidRPr="00330A16" w:rsidRDefault="00A66C3D">
            <w:pPr>
              <w:spacing w:line="240" w:lineRule="auto"/>
              <w:rPr>
                <w:rFonts w:ascii="Times New Roman" w:hAnsi="Times New Roman" w:cs="Times New Roman"/>
                <w:i/>
                <w:sz w:val="20"/>
                <w:szCs w:val="20"/>
              </w:rPr>
            </w:pPr>
            <w:r w:rsidRPr="00330A16">
              <w:rPr>
                <w:rFonts w:ascii="Times New Roman" w:hAnsi="Times New Roman" w:cs="Times New Roman"/>
                <w:b/>
                <w:sz w:val="20"/>
                <w:szCs w:val="20"/>
              </w:rPr>
              <w:t>Uwaga ogólna</w:t>
            </w:r>
          </w:p>
        </w:tc>
        <w:tc>
          <w:tcPr>
            <w:tcW w:w="0" w:type="auto"/>
            <w:tcBorders>
              <w:top w:val="single" w:sz="4" w:space="0" w:color="auto"/>
              <w:left w:val="single" w:sz="4" w:space="0" w:color="auto"/>
              <w:bottom w:val="single" w:sz="4" w:space="0" w:color="auto"/>
              <w:right w:val="single" w:sz="4" w:space="0" w:color="auto"/>
            </w:tcBorders>
            <w:hideMark/>
          </w:tcPr>
          <w:p w14:paraId="5491076B" w14:textId="2DBE788B" w:rsidR="00A66C3D" w:rsidRPr="00330A16" w:rsidRDefault="00A66C3D" w:rsidP="00A66C3D">
            <w:pPr>
              <w:spacing w:line="280" w:lineRule="exact"/>
              <w:jc w:val="both"/>
              <w:rPr>
                <w:rFonts w:ascii="Times New Roman" w:hAnsi="Times New Roman" w:cs="Times New Roman"/>
                <w:sz w:val="20"/>
                <w:szCs w:val="20"/>
              </w:rPr>
            </w:pPr>
            <w:r w:rsidRPr="00330A16">
              <w:rPr>
                <w:rFonts w:ascii="Times New Roman" w:hAnsi="Times New Roman" w:cs="Times New Roman"/>
                <w:sz w:val="20"/>
                <w:szCs w:val="20"/>
              </w:rPr>
              <w:t>Zgodnie z projektowaną uchwałą zmianie ulegnie załącznik nr 2 do uchwały nr 97 Rady Ministrów z dnia 11 września 2019 r. w sprawie Inicjatywy „Wspólna Infrastruktura Informatyczna Państwa” (M.P. z 2021 r. poz. 1006) określający kryteria klasyfikacji systemów teleinformatycznych, które mogą korzystać z usług przetwarzania w Rządowej Chmurze Obliczeniowej (</w:t>
            </w:r>
            <w:proofErr w:type="spellStart"/>
            <w:r w:rsidRPr="00330A16">
              <w:rPr>
                <w:rFonts w:ascii="Times New Roman" w:hAnsi="Times New Roman" w:cs="Times New Roman"/>
                <w:sz w:val="20"/>
                <w:szCs w:val="20"/>
              </w:rPr>
              <w:t>RChO</w:t>
            </w:r>
            <w:proofErr w:type="spellEnd"/>
            <w:r w:rsidRPr="00330A16">
              <w:rPr>
                <w:rFonts w:ascii="Times New Roman" w:hAnsi="Times New Roman" w:cs="Times New Roman"/>
                <w:sz w:val="20"/>
                <w:szCs w:val="20"/>
              </w:rPr>
              <w:t>) lub w Publicznych Chmurach Obliczeniowych (</w:t>
            </w:r>
            <w:proofErr w:type="spellStart"/>
            <w:r w:rsidRPr="00330A16">
              <w:rPr>
                <w:rFonts w:ascii="Times New Roman" w:hAnsi="Times New Roman" w:cs="Times New Roman"/>
                <w:sz w:val="20"/>
                <w:szCs w:val="20"/>
              </w:rPr>
              <w:t>PChO</w:t>
            </w:r>
            <w:proofErr w:type="spellEnd"/>
            <w:r w:rsidRPr="00330A16">
              <w:rPr>
                <w:rFonts w:ascii="Times New Roman" w:hAnsi="Times New Roman" w:cs="Times New Roman"/>
                <w:sz w:val="20"/>
                <w:szCs w:val="20"/>
              </w:rPr>
              <w:t>). W wyniku przedmiotowej zmiany w ww. chmurach obliczeniowych będą mogły funkcjonować wszystkie systemy teleinformatyczne administracji rządowej, z wyłączeniem systemów, w których są przetwarzane informacje niejawne. Oznacza to włączenie do chmur obliczeniowych, po przeprowadzeniu analizy przez podmiot odpowiedzialny za dany system teleinformatyczny, m. in. systemów wykorzystywanych przez służby specjalne (</w:t>
            </w:r>
            <w:r w:rsidRPr="00330A16">
              <w:rPr>
                <w:rFonts w:ascii="Times New Roman" w:hAnsi="Times New Roman" w:cs="Times New Roman"/>
                <w:b/>
                <w:bCs/>
                <w:sz w:val="20"/>
                <w:szCs w:val="20"/>
              </w:rPr>
              <w:t xml:space="preserve">pkt 2 </w:t>
            </w:r>
            <w:r w:rsidRPr="00330A16">
              <w:rPr>
                <w:rFonts w:ascii="Times New Roman" w:hAnsi="Times New Roman" w:cs="Times New Roman"/>
                <w:sz w:val="20"/>
                <w:szCs w:val="20"/>
              </w:rPr>
              <w:t>tabeli), służby mundurowe i wymiar sprawiedliwości (</w:t>
            </w:r>
            <w:r w:rsidRPr="00330A16">
              <w:rPr>
                <w:rFonts w:ascii="Times New Roman" w:hAnsi="Times New Roman" w:cs="Times New Roman"/>
                <w:b/>
                <w:bCs/>
                <w:sz w:val="20"/>
                <w:szCs w:val="20"/>
              </w:rPr>
              <w:t>pkt 4</w:t>
            </w:r>
            <w:r w:rsidRPr="00330A16">
              <w:rPr>
                <w:rFonts w:ascii="Times New Roman" w:hAnsi="Times New Roman" w:cs="Times New Roman"/>
                <w:sz w:val="20"/>
                <w:szCs w:val="20"/>
              </w:rPr>
              <w:t xml:space="preserve"> tabeli) oraz tych systemów, w których są przetwarzane szczególne kategorie danych osobowych w rozumieniu art. 9 i 10 rozporządzenia 2016/679 (</w:t>
            </w:r>
            <w:r w:rsidRPr="00330A16">
              <w:rPr>
                <w:rFonts w:ascii="Times New Roman" w:hAnsi="Times New Roman" w:cs="Times New Roman"/>
                <w:b/>
                <w:bCs/>
                <w:sz w:val="20"/>
                <w:szCs w:val="20"/>
              </w:rPr>
              <w:t xml:space="preserve">pkt 8 </w:t>
            </w:r>
            <w:r w:rsidRPr="00330A16">
              <w:rPr>
                <w:rFonts w:ascii="Times New Roman" w:hAnsi="Times New Roman" w:cs="Times New Roman"/>
                <w:sz w:val="20"/>
                <w:szCs w:val="20"/>
              </w:rPr>
              <w:t xml:space="preserve">tabeli). Biorąc pod uwagę wysoce newralgiczny charakter danych przetwarzanych w tych systemach, organ nadzorczy wskazuje na konieczność przeprowadzenia przez projektodawcę </w:t>
            </w:r>
            <w:r w:rsidRPr="00330A16">
              <w:rPr>
                <w:rFonts w:ascii="Times New Roman" w:hAnsi="Times New Roman" w:cs="Times New Roman"/>
                <w:b/>
                <w:bCs/>
                <w:sz w:val="20"/>
                <w:szCs w:val="20"/>
              </w:rPr>
              <w:t>testu</w:t>
            </w:r>
            <w:r w:rsidRPr="00330A16">
              <w:rPr>
                <w:rFonts w:ascii="Times New Roman" w:hAnsi="Times New Roman" w:cs="Times New Roman"/>
                <w:sz w:val="20"/>
                <w:szCs w:val="20"/>
              </w:rPr>
              <w:t xml:space="preserve"> </w:t>
            </w:r>
            <w:r w:rsidRPr="00330A16">
              <w:rPr>
                <w:rFonts w:ascii="Times New Roman" w:hAnsi="Times New Roman" w:cs="Times New Roman"/>
                <w:b/>
                <w:bCs/>
                <w:sz w:val="20"/>
                <w:szCs w:val="20"/>
              </w:rPr>
              <w:t>prywatności w procesie tworzenia prawa</w:t>
            </w:r>
            <w:r w:rsidRPr="00330A16">
              <w:rPr>
                <w:rFonts w:ascii="Times New Roman" w:hAnsi="Times New Roman" w:cs="Times New Roman"/>
                <w:sz w:val="20"/>
                <w:szCs w:val="20"/>
              </w:rPr>
              <w:t xml:space="preserve">, w tym oceny skutków dla ochrony danych art. 25 </w:t>
            </w:r>
            <w:r w:rsidRPr="00330A16">
              <w:rPr>
                <w:rFonts w:ascii="Times New Roman" w:hAnsi="Times New Roman" w:cs="Times New Roman"/>
                <w:sz w:val="20"/>
                <w:szCs w:val="20"/>
              </w:rPr>
              <w:lastRenderedPageBreak/>
              <w:t>ust. 13 rozporządzenia 2016/679, jak i art. 35 (w</w:t>
            </w:r>
            <w:r w:rsidR="00330A16">
              <w:rPr>
                <w:rFonts w:ascii="Times New Roman" w:hAnsi="Times New Roman" w:cs="Times New Roman"/>
                <w:sz w:val="20"/>
                <w:szCs w:val="20"/>
              </w:rPr>
              <w:t> </w:t>
            </w:r>
            <w:r w:rsidRPr="00330A16">
              <w:rPr>
                <w:rFonts w:ascii="Times New Roman" w:hAnsi="Times New Roman" w:cs="Times New Roman"/>
                <w:sz w:val="20"/>
                <w:szCs w:val="20"/>
              </w:rPr>
              <w:t>szczególności ust. 14 i ust. 105), w związku z</w:t>
            </w:r>
            <w:r w:rsidR="00330A16">
              <w:rPr>
                <w:rFonts w:ascii="Times New Roman" w:hAnsi="Times New Roman" w:cs="Times New Roman"/>
                <w:sz w:val="20"/>
                <w:szCs w:val="20"/>
              </w:rPr>
              <w:t> </w:t>
            </w:r>
            <w:r w:rsidRPr="00330A16">
              <w:rPr>
                <w:rFonts w:ascii="Times New Roman" w:hAnsi="Times New Roman" w:cs="Times New Roman"/>
                <w:sz w:val="20"/>
                <w:szCs w:val="20"/>
              </w:rPr>
              <w:t xml:space="preserve">przyjmowaniem podstawy prawnej przetwarzania. Przeprowadzenie ww. testu prywatności powinno wykazać czy faktycznie zmiany projektowanej uchwały zwiększą poziom </w:t>
            </w:r>
            <w:proofErr w:type="spellStart"/>
            <w:r w:rsidRPr="00330A16">
              <w:rPr>
                <w:rFonts w:ascii="Times New Roman" w:hAnsi="Times New Roman" w:cs="Times New Roman"/>
                <w:sz w:val="20"/>
                <w:szCs w:val="20"/>
              </w:rPr>
              <w:t>cyberbezpieczeństwa</w:t>
            </w:r>
            <w:proofErr w:type="spellEnd"/>
            <w:r w:rsidRPr="00330A16">
              <w:rPr>
                <w:rFonts w:ascii="Times New Roman" w:hAnsi="Times New Roman" w:cs="Times New Roman"/>
                <w:sz w:val="20"/>
                <w:szCs w:val="20"/>
              </w:rPr>
              <w:t xml:space="preserve"> i ochrony danych przetwarzanych w państwowych chmurach obliczeniowych, bez wpływu na ryzyko naruszenia danych zwykłych i szczególnych kategorii przetwarzanych przez administrację publiczną.</w:t>
            </w:r>
          </w:p>
          <w:p w14:paraId="7857C2A3" w14:textId="7ADEE8AC" w:rsidR="00D32F56" w:rsidRPr="00330A16" w:rsidRDefault="00D32F56">
            <w:pPr>
              <w:spacing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hideMark/>
          </w:tcPr>
          <w:p w14:paraId="4403473C" w14:textId="1F6BCFF9" w:rsidR="00D32F56" w:rsidRDefault="00D32F56" w:rsidP="00294CF7">
            <w:pPr>
              <w:spacing w:line="240" w:lineRule="auto"/>
              <w:jc w:val="both"/>
              <w:rPr>
                <w:rFonts w:ascii="Times New Roman" w:hAnsi="Times New Roman" w:cs="Times New Roman"/>
                <w:b/>
                <w:sz w:val="20"/>
                <w:szCs w:val="20"/>
              </w:rPr>
            </w:pPr>
            <w:r w:rsidRPr="00330A16">
              <w:rPr>
                <w:rFonts w:ascii="Times New Roman" w:hAnsi="Times New Roman" w:cs="Times New Roman"/>
                <w:b/>
                <w:sz w:val="20"/>
                <w:szCs w:val="20"/>
              </w:rPr>
              <w:lastRenderedPageBreak/>
              <w:t>Uwaga uwzględniona</w:t>
            </w:r>
          </w:p>
          <w:p w14:paraId="0620507F" w14:textId="77777777" w:rsidR="00330A16" w:rsidRPr="00330A16" w:rsidRDefault="00330A16" w:rsidP="00294CF7">
            <w:pPr>
              <w:spacing w:line="240" w:lineRule="auto"/>
              <w:jc w:val="both"/>
              <w:rPr>
                <w:rFonts w:ascii="Times New Roman" w:hAnsi="Times New Roman" w:cs="Times New Roman"/>
                <w:b/>
                <w:sz w:val="20"/>
                <w:szCs w:val="20"/>
              </w:rPr>
            </w:pPr>
          </w:p>
          <w:p w14:paraId="0F4BB414" w14:textId="0768C5DD" w:rsidR="00A66C3D" w:rsidRPr="00330A16" w:rsidRDefault="00A66C3D" w:rsidP="00294CF7">
            <w:pPr>
              <w:jc w:val="both"/>
              <w:rPr>
                <w:rFonts w:ascii="Times New Roman" w:hAnsi="Times New Roman" w:cs="Times New Roman"/>
                <w:sz w:val="20"/>
                <w:szCs w:val="20"/>
              </w:rPr>
            </w:pPr>
            <w:r w:rsidRPr="00330A16">
              <w:rPr>
                <w:rFonts w:ascii="Times New Roman" w:hAnsi="Times New Roman" w:cs="Times New Roman"/>
                <w:sz w:val="20"/>
                <w:szCs w:val="20"/>
              </w:rPr>
              <w:t>Projektodawca zgodnie z</w:t>
            </w:r>
            <w:r w:rsidR="00294CF7" w:rsidRPr="00330A16">
              <w:rPr>
                <w:rFonts w:ascii="Times New Roman" w:hAnsi="Times New Roman" w:cs="Times New Roman"/>
                <w:sz w:val="20"/>
                <w:szCs w:val="20"/>
              </w:rPr>
              <w:t> </w:t>
            </w:r>
            <w:r w:rsidRPr="00330A16">
              <w:rPr>
                <w:rFonts w:ascii="Times New Roman" w:hAnsi="Times New Roman" w:cs="Times New Roman"/>
                <w:sz w:val="20"/>
                <w:szCs w:val="20"/>
              </w:rPr>
              <w:t>uwagą Prezesa UODO przeprowadził test prywatności w</w:t>
            </w:r>
            <w:r w:rsidR="00294CF7" w:rsidRPr="00330A16">
              <w:rPr>
                <w:rFonts w:ascii="Times New Roman" w:hAnsi="Times New Roman" w:cs="Times New Roman"/>
                <w:sz w:val="20"/>
                <w:szCs w:val="20"/>
              </w:rPr>
              <w:t> </w:t>
            </w:r>
            <w:r w:rsidRPr="00330A16">
              <w:rPr>
                <w:rFonts w:ascii="Times New Roman" w:hAnsi="Times New Roman" w:cs="Times New Roman"/>
                <w:sz w:val="20"/>
                <w:szCs w:val="20"/>
              </w:rPr>
              <w:t xml:space="preserve">procesie stanowienia prawa.  Projektodawca podziela stanowisko, że zastosowanie testu daje możliwość dokonania oceny </w:t>
            </w:r>
            <w:proofErr w:type="spellStart"/>
            <w:r w:rsidRPr="00330A16">
              <w:rPr>
                <w:rFonts w:ascii="Times New Roman" w:hAnsi="Times New Roman" w:cs="Times New Roman"/>
                <w:sz w:val="20"/>
                <w:szCs w:val="20"/>
              </w:rPr>
              <w:t>ryzyk</w:t>
            </w:r>
            <w:proofErr w:type="spellEnd"/>
            <w:r w:rsidRPr="00330A16">
              <w:rPr>
                <w:rFonts w:ascii="Times New Roman" w:hAnsi="Times New Roman" w:cs="Times New Roman"/>
                <w:sz w:val="20"/>
                <w:szCs w:val="20"/>
              </w:rPr>
              <w:t xml:space="preserve"> i</w:t>
            </w:r>
            <w:r w:rsidR="00294CF7" w:rsidRPr="00330A16">
              <w:rPr>
                <w:rFonts w:ascii="Times New Roman" w:hAnsi="Times New Roman" w:cs="Times New Roman"/>
                <w:sz w:val="20"/>
                <w:szCs w:val="20"/>
              </w:rPr>
              <w:t> </w:t>
            </w:r>
            <w:r w:rsidRPr="00330A16">
              <w:rPr>
                <w:rFonts w:ascii="Times New Roman" w:hAnsi="Times New Roman" w:cs="Times New Roman"/>
                <w:sz w:val="20"/>
                <w:szCs w:val="20"/>
              </w:rPr>
              <w:t xml:space="preserve">tym samym uwzględnienie odpowiednich środków prawnych umożliwiających wyeliminowanie ryzyka naruszenia </w:t>
            </w:r>
            <w:r w:rsidRPr="00330A16">
              <w:rPr>
                <w:rFonts w:ascii="Times New Roman" w:hAnsi="Times New Roman" w:cs="Times New Roman"/>
                <w:sz w:val="20"/>
                <w:szCs w:val="20"/>
              </w:rPr>
              <w:lastRenderedPageBreak/>
              <w:t>danych poszczególnych kategorii, które docelowo mają być przetwarzane w</w:t>
            </w:r>
            <w:r w:rsidR="00330A16">
              <w:rPr>
                <w:rFonts w:ascii="Times New Roman" w:hAnsi="Times New Roman" w:cs="Times New Roman"/>
                <w:sz w:val="20"/>
                <w:szCs w:val="20"/>
              </w:rPr>
              <w:t> </w:t>
            </w:r>
            <w:r w:rsidRPr="00330A16">
              <w:rPr>
                <w:rFonts w:ascii="Times New Roman" w:hAnsi="Times New Roman" w:cs="Times New Roman"/>
                <w:sz w:val="20"/>
                <w:szCs w:val="20"/>
              </w:rPr>
              <w:t xml:space="preserve">ramach </w:t>
            </w:r>
            <w:proofErr w:type="spellStart"/>
            <w:r w:rsidRPr="00330A16">
              <w:rPr>
                <w:rFonts w:ascii="Times New Roman" w:hAnsi="Times New Roman" w:cs="Times New Roman"/>
                <w:sz w:val="20"/>
                <w:szCs w:val="20"/>
              </w:rPr>
              <w:t>RChO</w:t>
            </w:r>
            <w:proofErr w:type="spellEnd"/>
            <w:r w:rsidRPr="00330A16">
              <w:rPr>
                <w:rFonts w:ascii="Times New Roman" w:hAnsi="Times New Roman" w:cs="Times New Roman"/>
                <w:sz w:val="20"/>
                <w:szCs w:val="20"/>
              </w:rPr>
              <w:t xml:space="preserve"> i </w:t>
            </w:r>
            <w:proofErr w:type="spellStart"/>
            <w:r w:rsidRPr="00330A16">
              <w:rPr>
                <w:rFonts w:ascii="Times New Roman" w:hAnsi="Times New Roman" w:cs="Times New Roman"/>
                <w:sz w:val="20"/>
                <w:szCs w:val="20"/>
              </w:rPr>
              <w:t>PChO</w:t>
            </w:r>
            <w:proofErr w:type="spellEnd"/>
            <w:r w:rsidRPr="00330A16">
              <w:rPr>
                <w:rFonts w:ascii="Times New Roman" w:hAnsi="Times New Roman" w:cs="Times New Roman"/>
                <w:sz w:val="20"/>
                <w:szCs w:val="20"/>
              </w:rPr>
              <w:t xml:space="preserve">. </w:t>
            </w:r>
          </w:p>
          <w:p w14:paraId="4D8D555B" w14:textId="571B86CC" w:rsidR="00A66C3D" w:rsidRPr="00330A16" w:rsidRDefault="00A66C3D" w:rsidP="00294CF7">
            <w:pPr>
              <w:jc w:val="both"/>
              <w:rPr>
                <w:rFonts w:ascii="Times New Roman" w:hAnsi="Times New Roman" w:cs="Times New Roman"/>
                <w:sz w:val="20"/>
                <w:szCs w:val="20"/>
              </w:rPr>
            </w:pPr>
            <w:r w:rsidRPr="00330A16">
              <w:rPr>
                <w:rFonts w:ascii="Times New Roman" w:hAnsi="Times New Roman" w:cs="Times New Roman"/>
                <w:sz w:val="20"/>
                <w:szCs w:val="20"/>
              </w:rPr>
              <w:t>W związku z</w:t>
            </w:r>
            <w:r w:rsidR="00294CF7" w:rsidRPr="00330A16">
              <w:rPr>
                <w:rFonts w:ascii="Times New Roman" w:hAnsi="Times New Roman" w:cs="Times New Roman"/>
                <w:sz w:val="20"/>
                <w:szCs w:val="20"/>
              </w:rPr>
              <w:t> </w:t>
            </w:r>
            <w:r w:rsidRPr="00330A16">
              <w:rPr>
                <w:rFonts w:ascii="Times New Roman" w:hAnsi="Times New Roman" w:cs="Times New Roman"/>
                <w:sz w:val="20"/>
                <w:szCs w:val="20"/>
              </w:rPr>
              <w:t>powyższym projektodawca przeprowadził test prywatności z</w:t>
            </w:r>
            <w:r w:rsidR="00294CF7" w:rsidRPr="00330A16">
              <w:rPr>
                <w:rFonts w:ascii="Times New Roman" w:hAnsi="Times New Roman" w:cs="Times New Roman"/>
                <w:sz w:val="20"/>
                <w:szCs w:val="20"/>
              </w:rPr>
              <w:t> </w:t>
            </w:r>
            <w:r w:rsidRPr="00330A16">
              <w:rPr>
                <w:rFonts w:ascii="Times New Roman" w:hAnsi="Times New Roman" w:cs="Times New Roman"/>
                <w:sz w:val="20"/>
                <w:szCs w:val="20"/>
              </w:rPr>
              <w:t>uwzględnieniem stanu wiedzy technicznej, charakteru przetwarzanych informacji oraz celu ich przetwarzania, a także wziął pod uwagę cel, którym kieruje się w</w:t>
            </w:r>
            <w:r w:rsidR="00294CF7" w:rsidRPr="00330A16">
              <w:rPr>
                <w:rFonts w:ascii="Times New Roman" w:hAnsi="Times New Roman" w:cs="Times New Roman"/>
                <w:sz w:val="20"/>
                <w:szCs w:val="20"/>
              </w:rPr>
              <w:t> </w:t>
            </w:r>
            <w:r w:rsidRPr="00330A16">
              <w:rPr>
                <w:rFonts w:ascii="Times New Roman" w:hAnsi="Times New Roman" w:cs="Times New Roman"/>
                <w:sz w:val="20"/>
                <w:szCs w:val="20"/>
              </w:rPr>
              <w:t>niniejszym projekcie. Zdaniem projektodawcy interes administratora przemawiający za przetwarzaniem danych jest prawnie i</w:t>
            </w:r>
            <w:r w:rsidR="00294CF7" w:rsidRPr="00330A16">
              <w:rPr>
                <w:rFonts w:ascii="Times New Roman" w:hAnsi="Times New Roman" w:cs="Times New Roman"/>
                <w:sz w:val="20"/>
                <w:szCs w:val="20"/>
              </w:rPr>
              <w:t> </w:t>
            </w:r>
            <w:r w:rsidRPr="00330A16">
              <w:rPr>
                <w:rFonts w:ascii="Times New Roman" w:hAnsi="Times New Roman" w:cs="Times New Roman"/>
                <w:sz w:val="20"/>
                <w:szCs w:val="20"/>
              </w:rPr>
              <w:t>faktycznie uzasadniony, a</w:t>
            </w:r>
            <w:r w:rsidR="00294CF7" w:rsidRPr="00330A16">
              <w:rPr>
                <w:rFonts w:ascii="Times New Roman" w:hAnsi="Times New Roman" w:cs="Times New Roman"/>
                <w:sz w:val="20"/>
                <w:szCs w:val="20"/>
              </w:rPr>
              <w:t> </w:t>
            </w:r>
            <w:r w:rsidRPr="00330A16">
              <w:rPr>
                <w:rFonts w:ascii="Times New Roman" w:hAnsi="Times New Roman" w:cs="Times New Roman"/>
                <w:sz w:val="20"/>
                <w:szCs w:val="20"/>
              </w:rPr>
              <w:t>przetwarzanie danych jest niezbędne do realizacji celu wynikającego z</w:t>
            </w:r>
            <w:r w:rsidR="00294CF7" w:rsidRPr="00330A16">
              <w:rPr>
                <w:rFonts w:ascii="Times New Roman" w:hAnsi="Times New Roman" w:cs="Times New Roman"/>
                <w:sz w:val="20"/>
                <w:szCs w:val="20"/>
              </w:rPr>
              <w:t> </w:t>
            </w:r>
            <w:r w:rsidRPr="00330A16">
              <w:rPr>
                <w:rFonts w:ascii="Times New Roman" w:hAnsi="Times New Roman" w:cs="Times New Roman"/>
                <w:sz w:val="20"/>
                <w:szCs w:val="20"/>
              </w:rPr>
              <w:t>tego interesu. Gestorzy systemów, w</w:t>
            </w:r>
            <w:r w:rsidR="00294CF7" w:rsidRPr="00330A16">
              <w:rPr>
                <w:rFonts w:ascii="Times New Roman" w:hAnsi="Times New Roman" w:cs="Times New Roman"/>
                <w:sz w:val="20"/>
                <w:szCs w:val="20"/>
              </w:rPr>
              <w:t> </w:t>
            </w:r>
            <w:r w:rsidRPr="00330A16">
              <w:rPr>
                <w:rFonts w:ascii="Times New Roman" w:hAnsi="Times New Roman" w:cs="Times New Roman"/>
                <w:sz w:val="20"/>
                <w:szCs w:val="20"/>
              </w:rPr>
              <w:t xml:space="preserve">których przetwarzane są określone dane, odpowiedzialni są za ich bezpieczeństwo, a w szerszej skali przekłada się to na bezpieczeństwo </w:t>
            </w:r>
            <w:r w:rsidRPr="00330A16">
              <w:rPr>
                <w:rFonts w:ascii="Times New Roman" w:hAnsi="Times New Roman" w:cs="Times New Roman"/>
                <w:sz w:val="20"/>
                <w:szCs w:val="20"/>
              </w:rPr>
              <w:lastRenderedPageBreak/>
              <w:t xml:space="preserve">państwa. Wskazać należy, że dane w </w:t>
            </w:r>
            <w:proofErr w:type="spellStart"/>
            <w:r w:rsidRPr="00330A16">
              <w:rPr>
                <w:rFonts w:ascii="Times New Roman" w:hAnsi="Times New Roman" w:cs="Times New Roman"/>
                <w:sz w:val="20"/>
                <w:szCs w:val="20"/>
              </w:rPr>
              <w:t>PChO</w:t>
            </w:r>
            <w:proofErr w:type="spellEnd"/>
            <w:r w:rsidRPr="00330A16">
              <w:rPr>
                <w:rFonts w:ascii="Times New Roman" w:hAnsi="Times New Roman" w:cs="Times New Roman"/>
                <w:sz w:val="20"/>
                <w:szCs w:val="20"/>
              </w:rPr>
              <w:t xml:space="preserve"> będą mogły być przetwarzane wyłącznie w</w:t>
            </w:r>
            <w:r w:rsidR="00294CF7" w:rsidRPr="00330A16">
              <w:rPr>
                <w:rFonts w:ascii="Times New Roman" w:hAnsi="Times New Roman" w:cs="Times New Roman"/>
                <w:sz w:val="20"/>
                <w:szCs w:val="20"/>
              </w:rPr>
              <w:t> </w:t>
            </w:r>
            <w:r w:rsidRPr="00330A16">
              <w:rPr>
                <w:rFonts w:ascii="Times New Roman" w:hAnsi="Times New Roman" w:cs="Times New Roman"/>
                <w:sz w:val="20"/>
                <w:szCs w:val="20"/>
              </w:rPr>
              <w:t>jurysdykcji krajowej lub innego państwa EOG, w którym stosowane jest prawo Unii Europejskiej. Chronione będą zatem w</w:t>
            </w:r>
            <w:r w:rsidR="00294CF7" w:rsidRPr="00330A16">
              <w:rPr>
                <w:rFonts w:ascii="Times New Roman" w:hAnsi="Times New Roman" w:cs="Times New Roman"/>
                <w:sz w:val="20"/>
                <w:szCs w:val="20"/>
              </w:rPr>
              <w:t> </w:t>
            </w:r>
            <w:r w:rsidRPr="00330A16">
              <w:rPr>
                <w:rFonts w:ascii="Times New Roman" w:hAnsi="Times New Roman" w:cs="Times New Roman"/>
                <w:sz w:val="20"/>
                <w:szCs w:val="20"/>
              </w:rPr>
              <w:t>pełnym zakresie przez RODO.</w:t>
            </w:r>
          </w:p>
          <w:p w14:paraId="42105B93" w14:textId="77777777" w:rsidR="00A66C3D" w:rsidRPr="00330A16" w:rsidRDefault="00A66C3D" w:rsidP="00294CF7">
            <w:pPr>
              <w:jc w:val="both"/>
              <w:rPr>
                <w:rFonts w:ascii="Times New Roman" w:hAnsi="Times New Roman" w:cs="Times New Roman"/>
                <w:sz w:val="20"/>
                <w:szCs w:val="20"/>
              </w:rPr>
            </w:pPr>
          </w:p>
          <w:p w14:paraId="0AA8C9C3" w14:textId="6E7A19A5" w:rsidR="00A66C3D" w:rsidRPr="00330A16" w:rsidRDefault="00A66C3D" w:rsidP="00294CF7">
            <w:pPr>
              <w:spacing w:line="240" w:lineRule="auto"/>
              <w:jc w:val="both"/>
              <w:rPr>
                <w:rFonts w:ascii="Times New Roman" w:hAnsi="Times New Roman" w:cs="Times New Roman"/>
                <w:iCs/>
                <w:sz w:val="20"/>
                <w:szCs w:val="20"/>
              </w:rPr>
            </w:pPr>
            <w:r w:rsidRPr="00330A16">
              <w:rPr>
                <w:rFonts w:ascii="Times New Roman" w:hAnsi="Times New Roman" w:cs="Times New Roman"/>
                <w:sz w:val="20"/>
                <w:szCs w:val="20"/>
              </w:rPr>
              <w:t>OSR i</w:t>
            </w:r>
            <w:r w:rsidR="00294CF7" w:rsidRPr="00330A16">
              <w:rPr>
                <w:rFonts w:ascii="Times New Roman" w:hAnsi="Times New Roman" w:cs="Times New Roman"/>
                <w:sz w:val="20"/>
                <w:szCs w:val="20"/>
              </w:rPr>
              <w:t> </w:t>
            </w:r>
            <w:r w:rsidRPr="00330A16">
              <w:rPr>
                <w:rFonts w:ascii="Times New Roman" w:hAnsi="Times New Roman" w:cs="Times New Roman"/>
                <w:sz w:val="20"/>
                <w:szCs w:val="20"/>
              </w:rPr>
              <w:t>uzasadnienie zostało doprecyzowane o informację w</w:t>
            </w:r>
            <w:r w:rsidR="00330A16">
              <w:rPr>
                <w:rFonts w:ascii="Times New Roman" w:hAnsi="Times New Roman" w:cs="Times New Roman"/>
                <w:sz w:val="20"/>
                <w:szCs w:val="20"/>
              </w:rPr>
              <w:t> </w:t>
            </w:r>
            <w:r w:rsidRPr="00330A16">
              <w:rPr>
                <w:rFonts w:ascii="Times New Roman" w:hAnsi="Times New Roman" w:cs="Times New Roman"/>
                <w:sz w:val="20"/>
                <w:szCs w:val="20"/>
              </w:rPr>
              <w:t>przedmiocie przeprowadzonego testu.</w:t>
            </w:r>
          </w:p>
        </w:tc>
      </w:tr>
    </w:tbl>
    <w:p w14:paraId="2F82CE19" w14:textId="77777777" w:rsidR="00D32F56" w:rsidRPr="00330A16" w:rsidRDefault="00D32F56" w:rsidP="00D32F56">
      <w:pPr>
        <w:rPr>
          <w:rFonts w:ascii="Times New Roman" w:hAnsi="Times New Roman" w:cs="Times New Roman"/>
          <w:b/>
          <w:sz w:val="20"/>
          <w:szCs w:val="20"/>
        </w:rPr>
      </w:pPr>
    </w:p>
    <w:p w14:paraId="4E52A893" w14:textId="77777777" w:rsidR="00D1500C" w:rsidRPr="00330A16" w:rsidRDefault="00D1500C">
      <w:pPr>
        <w:rPr>
          <w:rFonts w:ascii="Times New Roman" w:hAnsi="Times New Roman" w:cs="Times New Roman"/>
          <w:sz w:val="20"/>
          <w:szCs w:val="20"/>
        </w:rPr>
      </w:pPr>
    </w:p>
    <w:sectPr w:rsidR="00D1500C" w:rsidRPr="00330A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EB5A85"/>
    <w:multiLevelType w:val="hybridMultilevel"/>
    <w:tmpl w:val="DBBC4F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776268E"/>
    <w:multiLevelType w:val="hybridMultilevel"/>
    <w:tmpl w:val="20BAFE3C"/>
    <w:lvl w:ilvl="0" w:tplc="0F90505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B381F07"/>
    <w:multiLevelType w:val="hybridMultilevel"/>
    <w:tmpl w:val="E0607ED2"/>
    <w:lvl w:ilvl="0" w:tplc="7716103A">
      <w:start w:val="1"/>
      <w:numFmt w:val="decimal"/>
      <w:lvlText w:val="%1)"/>
      <w:lvlJc w:val="left"/>
      <w:pPr>
        <w:ind w:left="1080" w:hanging="360"/>
      </w:pPr>
      <w:rPr>
        <w:rFonts w:eastAsia="Calibri"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 w15:restartNumberingAfterBreak="0">
    <w:nsid w:val="3C9B5070"/>
    <w:multiLevelType w:val="hybridMultilevel"/>
    <w:tmpl w:val="98CA16E4"/>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77512FD7"/>
    <w:multiLevelType w:val="hybridMultilevel"/>
    <w:tmpl w:val="71C88AF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5738565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28354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530691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13632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2384116">
    <w:abstractNumId w:val="3"/>
  </w:num>
  <w:num w:numId="6" w16cid:durableId="91438763">
    <w:abstractNumId w:val="1"/>
  </w:num>
  <w:num w:numId="7" w16cid:durableId="1536112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F56"/>
    <w:rsid w:val="0005225F"/>
    <w:rsid w:val="00092EEC"/>
    <w:rsid w:val="0023743E"/>
    <w:rsid w:val="00294CF7"/>
    <w:rsid w:val="002C7898"/>
    <w:rsid w:val="00330A16"/>
    <w:rsid w:val="00340C5D"/>
    <w:rsid w:val="00726709"/>
    <w:rsid w:val="009B7D9E"/>
    <w:rsid w:val="00A5242F"/>
    <w:rsid w:val="00A62500"/>
    <w:rsid w:val="00A66C3D"/>
    <w:rsid w:val="00D1500C"/>
    <w:rsid w:val="00D32F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92A0F"/>
  <w15:chartTrackingRefBased/>
  <w15:docId w15:val="{CB5E8224-8F3F-4935-803F-5B9569052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2F56"/>
    <w:pPr>
      <w:spacing w:line="256" w:lineRule="auto"/>
    </w:pPr>
    <w:rPr>
      <w:kern w:val="0"/>
      <w14:ligatures w14:val="none"/>
    </w:rPr>
  </w:style>
  <w:style w:type="paragraph" w:styleId="Nagwek1">
    <w:name w:val="heading 1"/>
    <w:basedOn w:val="Normalny"/>
    <w:next w:val="Normalny"/>
    <w:link w:val="Nagwek1Znak"/>
    <w:uiPriority w:val="9"/>
    <w:qFormat/>
    <w:rsid w:val="00D32F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32F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32F5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32F5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32F5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32F5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32F5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32F5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32F5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32F5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32F5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32F5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32F5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32F5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32F5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32F5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32F5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32F56"/>
    <w:rPr>
      <w:rFonts w:eastAsiaTheme="majorEastAsia" w:cstheme="majorBidi"/>
      <w:color w:val="272727" w:themeColor="text1" w:themeTint="D8"/>
    </w:rPr>
  </w:style>
  <w:style w:type="paragraph" w:styleId="Tytu">
    <w:name w:val="Title"/>
    <w:basedOn w:val="Normalny"/>
    <w:next w:val="Normalny"/>
    <w:link w:val="TytuZnak"/>
    <w:uiPriority w:val="10"/>
    <w:qFormat/>
    <w:rsid w:val="00D32F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32F5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32F5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32F5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32F56"/>
    <w:pPr>
      <w:spacing w:before="160"/>
      <w:jc w:val="center"/>
    </w:pPr>
    <w:rPr>
      <w:i/>
      <w:iCs/>
      <w:color w:val="404040" w:themeColor="text1" w:themeTint="BF"/>
    </w:rPr>
  </w:style>
  <w:style w:type="character" w:customStyle="1" w:styleId="CytatZnak">
    <w:name w:val="Cytat Znak"/>
    <w:basedOn w:val="Domylnaczcionkaakapitu"/>
    <w:link w:val="Cytat"/>
    <w:uiPriority w:val="29"/>
    <w:rsid w:val="00D32F56"/>
    <w:rPr>
      <w:i/>
      <w:iCs/>
      <w:color w:val="404040" w:themeColor="text1" w:themeTint="BF"/>
    </w:rPr>
  </w:style>
  <w:style w:type="paragraph" w:styleId="Akapitzlist">
    <w:name w:val="List Paragraph"/>
    <w:basedOn w:val="Normalny"/>
    <w:uiPriority w:val="34"/>
    <w:qFormat/>
    <w:rsid w:val="00D32F56"/>
    <w:pPr>
      <w:ind w:left="720"/>
      <w:contextualSpacing/>
    </w:pPr>
  </w:style>
  <w:style w:type="character" w:styleId="Wyrnienieintensywne">
    <w:name w:val="Intense Emphasis"/>
    <w:basedOn w:val="Domylnaczcionkaakapitu"/>
    <w:uiPriority w:val="21"/>
    <w:qFormat/>
    <w:rsid w:val="00D32F56"/>
    <w:rPr>
      <w:i/>
      <w:iCs/>
      <w:color w:val="0F4761" w:themeColor="accent1" w:themeShade="BF"/>
    </w:rPr>
  </w:style>
  <w:style w:type="paragraph" w:styleId="Cytatintensywny">
    <w:name w:val="Intense Quote"/>
    <w:basedOn w:val="Normalny"/>
    <w:next w:val="Normalny"/>
    <w:link w:val="CytatintensywnyZnak"/>
    <w:uiPriority w:val="30"/>
    <w:qFormat/>
    <w:rsid w:val="00D32F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32F56"/>
    <w:rPr>
      <w:i/>
      <w:iCs/>
      <w:color w:val="0F4761" w:themeColor="accent1" w:themeShade="BF"/>
    </w:rPr>
  </w:style>
  <w:style w:type="character" w:styleId="Odwoanieintensywne">
    <w:name w:val="Intense Reference"/>
    <w:basedOn w:val="Domylnaczcionkaakapitu"/>
    <w:uiPriority w:val="32"/>
    <w:qFormat/>
    <w:rsid w:val="00D32F56"/>
    <w:rPr>
      <w:b/>
      <w:bCs/>
      <w:smallCaps/>
      <w:color w:val="0F4761" w:themeColor="accent1" w:themeShade="BF"/>
      <w:spacing w:val="5"/>
    </w:rPr>
  </w:style>
  <w:style w:type="table" w:styleId="Tabela-Siatka">
    <w:name w:val="Table Grid"/>
    <w:basedOn w:val="Standardowy"/>
    <w:uiPriority w:val="39"/>
    <w:rsid w:val="00D32F56"/>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7451826">
      <w:bodyDiv w:val="1"/>
      <w:marLeft w:val="0"/>
      <w:marRight w:val="0"/>
      <w:marTop w:val="0"/>
      <w:marBottom w:val="0"/>
      <w:divBdr>
        <w:top w:val="none" w:sz="0" w:space="0" w:color="auto"/>
        <w:left w:val="none" w:sz="0" w:space="0" w:color="auto"/>
        <w:bottom w:val="none" w:sz="0" w:space="0" w:color="auto"/>
        <w:right w:val="none" w:sz="0" w:space="0" w:color="auto"/>
      </w:divBdr>
    </w:div>
    <w:div w:id="1199391612">
      <w:bodyDiv w:val="1"/>
      <w:marLeft w:val="0"/>
      <w:marRight w:val="0"/>
      <w:marTop w:val="0"/>
      <w:marBottom w:val="0"/>
      <w:divBdr>
        <w:top w:val="none" w:sz="0" w:space="0" w:color="auto"/>
        <w:left w:val="none" w:sz="0" w:space="0" w:color="auto"/>
        <w:bottom w:val="none" w:sz="0" w:space="0" w:color="auto"/>
        <w:right w:val="none" w:sz="0" w:space="0" w:color="auto"/>
      </w:divBdr>
    </w:div>
    <w:div w:id="1314481092">
      <w:bodyDiv w:val="1"/>
      <w:marLeft w:val="0"/>
      <w:marRight w:val="0"/>
      <w:marTop w:val="0"/>
      <w:marBottom w:val="0"/>
      <w:divBdr>
        <w:top w:val="none" w:sz="0" w:space="0" w:color="auto"/>
        <w:left w:val="none" w:sz="0" w:space="0" w:color="auto"/>
        <w:bottom w:val="none" w:sz="0" w:space="0" w:color="auto"/>
        <w:right w:val="none" w:sz="0" w:space="0" w:color="auto"/>
      </w:divBdr>
    </w:div>
    <w:div w:id="1667125970">
      <w:bodyDiv w:val="1"/>
      <w:marLeft w:val="0"/>
      <w:marRight w:val="0"/>
      <w:marTop w:val="0"/>
      <w:marBottom w:val="0"/>
      <w:divBdr>
        <w:top w:val="none" w:sz="0" w:space="0" w:color="auto"/>
        <w:left w:val="none" w:sz="0" w:space="0" w:color="auto"/>
        <w:bottom w:val="none" w:sz="0" w:space="0" w:color="auto"/>
        <w:right w:val="none" w:sz="0" w:space="0" w:color="auto"/>
      </w:divBdr>
    </w:div>
    <w:div w:id="1799449028">
      <w:bodyDiv w:val="1"/>
      <w:marLeft w:val="0"/>
      <w:marRight w:val="0"/>
      <w:marTop w:val="0"/>
      <w:marBottom w:val="0"/>
      <w:divBdr>
        <w:top w:val="none" w:sz="0" w:space="0" w:color="auto"/>
        <w:left w:val="none" w:sz="0" w:space="0" w:color="auto"/>
        <w:bottom w:val="none" w:sz="0" w:space="0" w:color="auto"/>
        <w:right w:val="none" w:sz="0" w:space="0" w:color="auto"/>
      </w:divBdr>
    </w:div>
    <w:div w:id="1814325215">
      <w:bodyDiv w:val="1"/>
      <w:marLeft w:val="0"/>
      <w:marRight w:val="0"/>
      <w:marTop w:val="0"/>
      <w:marBottom w:val="0"/>
      <w:divBdr>
        <w:top w:val="none" w:sz="0" w:space="0" w:color="auto"/>
        <w:left w:val="none" w:sz="0" w:space="0" w:color="auto"/>
        <w:bottom w:val="none" w:sz="0" w:space="0" w:color="auto"/>
        <w:right w:val="none" w:sz="0" w:space="0" w:color="auto"/>
      </w:divBdr>
    </w:div>
    <w:div w:id="1895509265">
      <w:bodyDiv w:val="1"/>
      <w:marLeft w:val="0"/>
      <w:marRight w:val="0"/>
      <w:marTop w:val="0"/>
      <w:marBottom w:val="0"/>
      <w:divBdr>
        <w:top w:val="none" w:sz="0" w:space="0" w:color="auto"/>
        <w:left w:val="none" w:sz="0" w:space="0" w:color="auto"/>
        <w:bottom w:val="none" w:sz="0" w:space="0" w:color="auto"/>
        <w:right w:val="none" w:sz="0" w:space="0" w:color="auto"/>
      </w:divBdr>
    </w:div>
    <w:div w:id="198353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1778</Words>
  <Characters>10673</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Kosecki Alan</dc:creator>
  <cp:keywords/>
  <dc:description/>
  <cp:lastModifiedBy>Markowska Anna</cp:lastModifiedBy>
  <cp:revision>6</cp:revision>
  <dcterms:created xsi:type="dcterms:W3CDTF">2024-06-20T07:39:00Z</dcterms:created>
  <dcterms:modified xsi:type="dcterms:W3CDTF">2024-06-27T07:09:00Z</dcterms:modified>
</cp:coreProperties>
</file>